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0" w:name="dp216536_8k.htm"/>
      <w:bookmarkStart w:id="1" w:name="ksdp216536_8k"/>
      <w:bookmarkEnd w:id="0"/>
      <w:bookmarkEnd w:id="1"/>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A_edei--DocumentType_c20240807__20"/>
      <w:bookmarkEnd w:id="2"/>
      <w:r>
        <w:rPr>
          <w:rFonts w:ascii="Times New Roman;Times;Serif" w:hAnsi="Times New Roman;Times;Serif"/>
          <w:b/>
          <w:i w:val="false"/>
          <w:caps w:val="false"/>
          <w:smallCaps w:val="false"/>
          <w:sz w:val="28"/>
        </w:rPr>
        <w:t>8-K</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August 13, 2024 (</w:t>
      </w:r>
      <w:bookmarkStart w:id="3" w:name="xdx_903_edei--DocumentPeriodEndDate_c202"/>
      <w:bookmarkEnd w:id="3"/>
      <w:r>
        <w:rPr>
          <w:rFonts w:ascii="Times New Roman;Times;Serif" w:hAnsi="Times New Roman;Times;Serif"/>
          <w:b/>
          <w:i w:val="false"/>
          <w:caps w:val="false"/>
          <w:smallCaps w:val="false"/>
          <w:sz w:val="20"/>
        </w:rPr>
        <w:t>August 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1_edei--EntityRegistrantName_c2024"/>
      <w:bookmarkEnd w:id="4"/>
      <w:r>
        <w:rPr>
          <w:rFonts w:ascii="Times New Roman;Times;Serif" w:hAnsi="Times New Roman;Times;Serif"/>
          <w:b/>
          <w:i w:val="false"/>
          <w:caps w:val="false"/>
          <w:smallCaps w:val="false"/>
          <w:sz w:val="28"/>
        </w:rPr>
        <w:t>ANI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500" w:type="dxa"/>
        <w:jc w:val="left"/>
        <w:tblInd w:w="0" w:type="dxa"/>
        <w:tblLayout w:type="fixed"/>
        <w:tblCellMar>
          <w:top w:w="0" w:type="dxa"/>
          <w:left w:w="0" w:type="dxa"/>
          <w:bottom w:w="0" w:type="dxa"/>
          <w:right w:w="0" w:type="dxa"/>
        </w:tblCellMar>
      </w:tblPr>
      <w:tblGrid>
        <w:gridCol w:w="2375"/>
        <w:gridCol w:w="2210"/>
        <w:gridCol w:w="2915"/>
      </w:tblGrid>
      <w:tr>
        <w:trPr/>
        <w:tc>
          <w:tcPr>
            <w:tcW w:w="2375" w:type="dxa"/>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2210" w:type="dxa"/>
            <w:tcBorders/>
            <w:vAlign w:val="center"/>
          </w:tcPr>
          <w:p>
            <w:pPr>
              <w:pStyle w:val="TableContents"/>
              <w:bidi w:val="0"/>
              <w:spacing w:before="0" w:after="283"/>
              <w:jc w:val="center"/>
              <w:rPr>
                <w:b/>
                <w:sz w:val="20"/>
              </w:rPr>
            </w:pPr>
            <w:bookmarkStart w:id="6" w:name="xdx_909_edei--EntityFileNumber_c20240807"/>
            <w:bookmarkEnd w:id="6"/>
            <w:r>
              <w:rPr>
                <w:b/>
                <w:sz w:val="20"/>
              </w:rPr>
              <w:t>001-31812</w:t>
            </w:r>
          </w:p>
        </w:tc>
        <w:tc>
          <w:tcPr>
            <w:tcW w:w="2915" w:type="dxa"/>
            <w:tcBorders/>
            <w:vAlign w:val="center"/>
          </w:tcPr>
          <w:p>
            <w:pPr>
              <w:pStyle w:val="TableContents"/>
              <w:bidi w:val="0"/>
              <w:spacing w:before="0" w:after="283"/>
              <w:jc w:val="center"/>
              <w:rPr>
                <w:b/>
                <w:sz w:val="20"/>
              </w:rPr>
            </w:pPr>
            <w:bookmarkStart w:id="7" w:name="xdx_900_edei--EntityTaxIdentificationNum"/>
            <w:bookmarkEnd w:id="7"/>
            <w:r>
              <w:rPr>
                <w:b/>
                <w:sz w:val="20"/>
              </w:rPr>
              <w:t>58-2301143</w:t>
            </w:r>
          </w:p>
        </w:tc>
      </w:tr>
      <w:tr>
        <w:trPr/>
        <w:tc>
          <w:tcPr>
            <w:tcW w:w="2375" w:type="dxa"/>
            <w:tcBorders/>
            <w:vAlign w:val="center"/>
          </w:tcPr>
          <w:p>
            <w:pPr>
              <w:pStyle w:val="TableContents"/>
              <w:bidi w:val="0"/>
              <w:spacing w:before="0" w:after="283"/>
              <w:jc w:val="center"/>
              <w:rPr>
                <w:sz w:val="20"/>
              </w:rPr>
            </w:pPr>
            <w:r>
              <w:rPr>
                <w:sz w:val="20"/>
              </w:rPr>
              <w:t>(State or other jurisdiction of</w:t>
              <w:br/>
              <w:t>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15"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210 Main Street West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Baudette, </w:t>
            </w:r>
            <w:bookmarkStart w:id="10" w:name="xdx_906_edei--EntityAddressStateOrProvin"/>
            <w:bookmarkEnd w:id="10"/>
            <w:r>
              <w:rPr>
                <w:rFonts w:ascii="Times New Roman;Times;Serif" w:hAnsi="Times New Roman;Times;Serif"/>
                <w:b/>
                <w:i w:val="false"/>
                <w:caps w:val="false"/>
                <w:smallCaps w:val="false"/>
                <w:sz w:val="20"/>
              </w:rPr>
              <w:t>Minnesota</w:t>
            </w:r>
          </w:p>
        </w:tc>
        <w:tc>
          <w:tcPr>
            <w:tcW w:w="920" w:type="dxa"/>
            <w:tcBorders/>
            <w:vAlign w:val="center"/>
          </w:tcPr>
          <w:p>
            <w:pPr>
              <w:pStyle w:val="TableContents"/>
              <w:bidi w:val="0"/>
              <w:spacing w:before="0" w:after="283"/>
              <w:jc w:val="center"/>
              <w:rPr>
                <w:b/>
                <w:sz w:val="20"/>
              </w:rPr>
            </w:pPr>
            <w:bookmarkStart w:id="11" w:name="xdx_90B_edei--EntityAddressPostalZipCode"/>
            <w:bookmarkEnd w:id="11"/>
            <w:r>
              <w:rPr>
                <w:b/>
                <w:sz w:val="20"/>
              </w:rPr>
              <w:t>56623</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C_edei--CityAreaCode_c20240807__20"/>
      <w:bookmarkEnd w:id="12"/>
      <w:r>
        <w:rPr>
          <w:rFonts w:ascii="Times New Roman;Times;Serif" w:hAnsi="Times New Roman;Times;Serif"/>
          <w:b/>
          <w:i w:val="false"/>
          <w:caps w:val="false"/>
          <w:smallCaps w:val="false"/>
          <w:sz w:val="20"/>
        </w:rPr>
        <w:t xml:space="preserve">218) </w:t>
      </w:r>
      <w:bookmarkStart w:id="13" w:name="xdx_90A_edei--LocalPhoneNumber_c20240807"/>
      <w:bookmarkEnd w:id="13"/>
      <w:r>
        <w:rPr>
          <w:rFonts w:ascii="Times New Roman;Times;Serif" w:hAnsi="Times New Roman;Times;Serif"/>
          <w:b/>
          <w:i w:val="false"/>
          <w:caps w:val="false"/>
          <w:smallCaps w:val="false"/>
          <w:sz w:val="20"/>
        </w:rPr>
        <w:t>634-3500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820" w:type="dxa"/>
        <w:jc w:val="left"/>
        <w:tblInd w:w="-10" w:type="dxa"/>
        <w:tblLayout w:type="fixed"/>
        <w:tblCellMar>
          <w:top w:w="28" w:type="dxa"/>
          <w:left w:w="28" w:type="dxa"/>
          <w:bottom w:w="0" w:type="dxa"/>
          <w:right w:w="0" w:type="dxa"/>
        </w:tblCellMar>
      </w:tblPr>
      <w:tblGrid>
        <w:gridCol w:w="1490"/>
        <w:gridCol w:w="1535"/>
        <w:gridCol w:w="2795"/>
      </w:tblGrid>
      <w:tr>
        <w:trPr/>
        <w:tc>
          <w:tcPr>
            <w:tcW w:w="1490" w:type="dxa"/>
            <w:tcBorders>
              <w:top w:val="single" w:sz="8" w:space="0" w:color="000000"/>
              <w:lef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left w:val="single" w:sz="8" w:space="0" w:color="000000"/>
            </w:tcBorders>
            <w:vAlign w:val="center"/>
          </w:tcPr>
          <w:p>
            <w:pPr>
              <w:pStyle w:val="TableContents"/>
              <w:bidi w:val="0"/>
              <w:spacing w:before="0" w:after="283"/>
              <w:jc w:val="center"/>
              <w:rPr>
                <w:sz w:val="20"/>
              </w:rPr>
            </w:pPr>
            <w:r>
              <w:rPr>
                <w:sz w:val="20"/>
              </w:rPr>
              <w:t>Trading Symbol(s)</w:t>
            </w:r>
          </w:p>
        </w:tc>
        <w:tc>
          <w:tcPr>
            <w:tcW w:w="2795"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center"/>
              <w:rPr>
                <w:sz w:val="20"/>
              </w:rPr>
            </w:pPr>
            <w:r>
              <w:rPr>
                <w:sz w:val="20"/>
              </w:rPr>
              <w:t xml:space="preserve">Name of each exchange on which </w:t>
              <w:br/>
              <w:t>registered</w:t>
            </w:r>
          </w:p>
        </w:tc>
      </w:tr>
      <w:tr>
        <w:trPr/>
        <w:tc>
          <w:tcPr>
            <w:tcW w:w="149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sz w:val="20"/>
              </w:rPr>
            </w:pPr>
            <w:bookmarkStart w:id="14" w:name="xdx_906_edei--Security12bTitle_c20240807"/>
            <w:bookmarkEnd w:id="14"/>
            <w:r>
              <w:rPr>
                <w:sz w:val="20"/>
              </w:rPr>
              <w:t>Common Stock</w:t>
            </w:r>
          </w:p>
        </w:tc>
        <w:tc>
          <w:tcPr>
            <w:tcW w:w="153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sz w:val="20"/>
              </w:rPr>
            </w:pPr>
            <w:bookmarkStart w:id="15" w:name="xdx_909_edei--TradingSymbol_c20240807__2"/>
            <w:bookmarkEnd w:id="15"/>
            <w:r>
              <w:rPr>
                <w:sz w:val="20"/>
              </w:rPr>
              <w:t>ANIP</w:t>
            </w:r>
          </w:p>
        </w:tc>
        <w:tc>
          <w:tcPr>
            <w:tcW w:w="2795" w:type="dxa"/>
            <w:tcBorders>
              <w:top w:val="single" w:sz="8" w:space="0" w:color="000000"/>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bookmarkStart w:id="16" w:name="xdx_906_edei--SecurityExchangeName_c2024"/>
            <w:bookmarkEnd w:id="16"/>
            <w:r>
              <w:rPr>
                <w:sz w:val="20"/>
              </w:rPr>
              <w:t>Nasdaq Stock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6_edei--WrittenCommunications_c202"/>
            <w:bookmarkEnd w:id="17"/>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6_edei--SolicitingMaterial_c202408"/>
            <w:bookmarkEnd w:id="18"/>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8_edei--PreCommencementTenderOffer"/>
            <w:bookmarkEnd w:id="19"/>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E_edei--PreCommencementIssuerTende"/>
            <w:bookmarkEnd w:id="20"/>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or Amendment of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Indenture and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ANI Pharmaceuticals,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$316.25 million principal amount of its 2.25% Convertible Senior Notes due 2029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The Notes were issued pursuant to, and are governed by, an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dated as of the Closing Date, between the Company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Pursuant to the purchase agreement between the Company and the representative of the initial purchasers of the Notes, the Company granted the initial purchasers an option to purchase, for settlement within a period of 13 days from, and including, the date the Notes are first issued, up to an additional $41.25 million principal amount of Notes. The Notes issued on August 13, 2024 include $41.25 million principal amount of Notes issued pursuant to the full exercise by the initial purchasers of such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deducting the initial purchasers’ discounts and commissions but before deducting the Company’s estimated offering expenses, the net proceeds to the Company from the offering of the Notes are estimated to be approximately $306.8 million. After payment of the cost of entering into the Capped Call Transactions (as defined below), the Company intends to use the remainder of the net proceeds from the Notes offering, together with cash on hand, to repay all outstanding loans, and terminate all commitments, under the Company’s existing senior secured credit agreement, dated as of November 19, 2021, by and among the Company, certain of the Company’s subsidiaries, as guarantors, Truist Bank, as administrative agent and other parties thereto, as amended, supplemented or otherwise modified from time to time (as amended,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the Company’s senior, unsecured obligations and will be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accrue interest at a rate of 2.25% per annum, payable semi-annually in arrears on March 1 and September 1 of each year, beginning on March 1, 2025. The Notes will mature on September 1, 2029, unless earlier repurchased, redeemed or converted. Before the close of business on the business day immediately before June 1, 2029, noteholders will have the right to convert their Notes only upon the occurrence of certain events. On or after June 1, 2029 until the close of business on the second scheduled trading day immediately before the maturity date, noteholders may convert their Notes at any time at their election. The Company will have the right to elect to settle conversions either entirely in cash or in a combination of cash and shares of its common stock. The kind and amount of consideration due upon conversion will be determined based on the conversion value of the Notes, measured proportionately for each trading day in an “Observation Period” (as defined in the Indenture) consisting of 60 trading days, and settled following the completion of that Observation Period. The consideration due in respect of each trading day in the Observation Period will consist of cash, up to at least the proportional amount of the principal amount being converted, and any excess of the proportional conversion value for that trading day that will not be settled in cash will be settled in shares of the Company’s common stock. The initial conversion rate is 13.4929 shares of the Company’s common stock per $1,000 principal amount of Notes, which represents an initial conversion price of approximately $74.11 per share of the Company’s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redeemable, in whole or in part (subject to certain limitations described below), at the Company’s option at any time, and from time to time, on or after September 1, 2027 and on or before the 61st scheduled trading day immediately before the maturity date, but only if (i) the notes are “Freely Tradable” (as defined in the Indenture) as of the date the Company sends the related redemption notice and all accrued and unpaid additional interest, if any, has been paid in full as of the first interest payment date occurring on or before the date the Company sends the related redemption notice; and (ii)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such redemption notice; and (2) the trading day immediately before the date the Company sends such redemption notice. However, the Company may not redeem less than all of the outstanding Notes unless at least $75.0 million aggregate principal amount of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with a conversion date that is on or after the date the Company sends the related redemption notice and on or before the second business day immediately before the related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(iv) a default by the Company in its other obligations or agreements under the Indenture or the Notes if such default is not cured or waived within 60 days after notice is given in accordance with the Indenture; (v) certain defaults by the Company or any of its significant subsidiaries with respect to indebtedness for borrowed money of at least $40,000,000; and (vi) certain events of bankruptcy, insolvency and reorganization involving the Company significant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365 days at a specified rate per annum not exceeding 0.50% on the principal amount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Indenture and the Notes is a summary and is not complete. A copy of the Indenture and the form of the certificate representing the Notes are filed as exhibits 4.1 and 4.2, respectively, to this Current Report on Form 8-K, and the above summary is qualified by reference to the terms of the Indenture and the Notes set forth in such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Capped Call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2024, in connection with the pricing of the offering of Notes, the Company entered into privately negotiated capped call transactions (the “</w:t>
      </w:r>
      <w:r>
        <w:rPr>
          <w:rFonts w:ascii="Times New Roman;Times;Serif" w:hAnsi="Times New Roman;Times;Serif"/>
          <w:b w:val="false"/>
          <w:i w:val="false"/>
          <w:caps w:val="false"/>
          <w:smallCaps w:val="false"/>
          <w:sz w:val="20"/>
          <w:u w:val="single"/>
        </w:rPr>
        <w:t>Base Capped Call Transactions</w:t>
      </w:r>
      <w:r>
        <w:rPr>
          <w:rFonts w:ascii="Times New Roman;Times;Serif" w:hAnsi="Times New Roman;Times;Serif"/>
          <w:b w:val="false"/>
          <w:i w:val="false"/>
          <w:caps w:val="false"/>
          <w:smallCaps w:val="false"/>
          <w:sz w:val="20"/>
        </w:rPr>
        <w:t>”) with Bank of Montreal, Deutsche Bank AG, London Branch, Mizuho Markets Americas LLC, Nomura Global Financial Products Inc. and Royal Bank of Canada (the “</w:t>
      </w:r>
      <w:r>
        <w:rPr>
          <w:rFonts w:ascii="Times New Roman;Times;Serif" w:hAnsi="Times New Roman;Times;Serif"/>
          <w:b w:val="false"/>
          <w:i w:val="false"/>
          <w:caps w:val="false"/>
          <w:smallCaps w:val="false"/>
          <w:sz w:val="20"/>
          <w:u w:val="single"/>
        </w:rPr>
        <w:t>Option Counterparties</w:t>
      </w:r>
      <w:r>
        <w:rPr>
          <w:rFonts w:ascii="Times New Roman;Times;Serif" w:hAnsi="Times New Roman;Times;Serif"/>
          <w:b w:val="false"/>
          <w:i w:val="false"/>
          <w:caps w:val="false"/>
          <w:smallCaps w:val="false"/>
          <w:sz w:val="20"/>
        </w:rPr>
        <w:t>”). In addition, on August 8, 2024, in connection with the initial purchasers’ exercise of their option to purchase additional Notes, the Company entered into additional capped call transactions (the “</w:t>
      </w:r>
      <w:r>
        <w:rPr>
          <w:rFonts w:ascii="Times New Roman;Times;Serif" w:hAnsi="Times New Roman;Times;Serif"/>
          <w:b w:val="false"/>
          <w:i w:val="false"/>
          <w:caps w:val="false"/>
          <w:smallCaps w:val="false"/>
          <w:sz w:val="20"/>
          <w:u w:val="single"/>
        </w:rPr>
        <w:t>Additional Capped Call Transactions</w:t>
      </w:r>
      <w:r>
        <w:rPr>
          <w:rFonts w:ascii="Times New Roman;Times;Serif" w:hAnsi="Times New Roman;Times;Serif"/>
          <w:b w:val="false"/>
          <w:i w:val="false"/>
          <w:caps w:val="false"/>
          <w:smallCaps w:val="false"/>
          <w:sz w:val="20"/>
        </w:rPr>
        <w:t>,” and, together with the Base Capped Call Transactions, the “</w:t>
      </w:r>
      <w:r>
        <w:rPr>
          <w:rFonts w:ascii="Times New Roman;Times;Serif" w:hAnsi="Times New Roman;Times;Serif"/>
          <w:b w:val="false"/>
          <w:i w:val="false"/>
          <w:caps w:val="false"/>
          <w:smallCaps w:val="false"/>
          <w:sz w:val="20"/>
          <w:u w:val="single"/>
        </w:rPr>
        <w:t>Capped Call Transactions</w:t>
      </w:r>
      <w:r>
        <w:rPr>
          <w:rFonts w:ascii="Times New Roman;Times;Serif" w:hAnsi="Times New Roman;Times;Serif"/>
          <w:b w:val="false"/>
          <w:i w:val="false"/>
          <w:caps w:val="false"/>
          <w:smallCaps w:val="false"/>
          <w:sz w:val="20"/>
        </w:rPr>
        <w:t>”) with each of the Option Counterparties. The Capped Call Transactions cover, subject to anti-dilution adjustments substantially similar to those applicable to the Notes,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$114.02, which represents a premium of 100% over the last reported sale price of the Company’s common stock on August 7, 2024. The cost of the Capped Call Transactions was approximately $40.6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Capped Call Transactions are separate transactions, each between the Company and the applicable Option Counterparty, and are not part of the terms of the Notes and will not affect any holder’s rights under the Notes or the Indenture. Holders of the Notes will not have any rights with respect to the Capped Call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Capped Call Transactions is a summary and is not complete. A copy of the form of confirmation for the Capped Call Transactions is filed as exhibit 10.1 to this Current Report on Form 8-K, and the above summary is qualified in its entirety by reference to the terms of the form of confirmation set forth in such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New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the Company, as lead borrower, entered into its previously announced senior secured credit agreement (the “</w:t>
      </w:r>
      <w:r>
        <w:rPr>
          <w:rFonts w:ascii="Times New Roman;Times;Serif" w:hAnsi="Times New Roman;Times;Serif"/>
          <w:b w:val="false"/>
          <w:i w:val="false"/>
          <w:caps w:val="false"/>
          <w:smallCaps w:val="false"/>
          <w:sz w:val="20"/>
          <w:u w:val="single"/>
        </w:rPr>
        <w:t>New Credit Agreement</w:t>
      </w:r>
      <w:r>
        <w:rPr>
          <w:rFonts w:ascii="Times New Roman;Times;Serif" w:hAnsi="Times New Roman;Times;Serif"/>
          <w:b w:val="false"/>
          <w:i w:val="false"/>
          <w:caps w:val="false"/>
          <w:smallCaps w:val="false"/>
          <w:sz w:val="20"/>
        </w:rPr>
        <w:t>”) with JPMorgan Chase Bank, N.A., as administrative agent, and other financial institutions (together,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pursuant to which such Lenders have agreed to provide a delayed draw $325 million senior secured term loan facility (the “</w:t>
      </w:r>
      <w:r>
        <w:rPr>
          <w:rFonts w:ascii="Times New Roman;Times;Serif" w:hAnsi="Times New Roman;Times;Serif"/>
          <w:b w:val="false"/>
          <w:i w:val="false"/>
          <w:caps w:val="false"/>
          <w:smallCaps w:val="false"/>
          <w:sz w:val="20"/>
          <w:u w:val="single"/>
        </w:rPr>
        <w:t>New Term Facility</w:t>
      </w:r>
      <w:r>
        <w:rPr>
          <w:rFonts w:ascii="Times New Roman;Times;Serif" w:hAnsi="Times New Roman;Times;Serif"/>
          <w:b w:val="false"/>
          <w:i w:val="false"/>
          <w:caps w:val="false"/>
          <w:smallCaps w:val="false"/>
          <w:sz w:val="20"/>
        </w:rPr>
        <w:t>”) for the purpose of financing, in whole or in part, the previously announced pending acquisition of Alimera Sciences, Inc.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pursuant to the Agreement and Plan of Merger between the Company, Alimera Sciences, Inc. and ANIP Merger Sub Inc., dated as of June 21, 2024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and a $75 million senior secured revolving credit facility (the “</w:t>
      </w:r>
      <w:r>
        <w:rPr>
          <w:rFonts w:ascii="Times New Roman;Times;Serif" w:hAnsi="Times New Roman;Times;Serif"/>
          <w:b w:val="false"/>
          <w:i w:val="false"/>
          <w:caps w:val="false"/>
          <w:smallCaps w:val="false"/>
          <w:sz w:val="20"/>
          <w:u w:val="single"/>
        </w:rPr>
        <w:t>New Revolving Facility</w:t>
      </w:r>
      <w:r>
        <w:rPr>
          <w:rFonts w:ascii="Times New Roman;Times;Serif" w:hAnsi="Times New Roman;Times;Serif"/>
          <w:b w:val="false"/>
          <w:i w:val="false"/>
          <w:caps w:val="false"/>
          <w:smallCaps w:val="false"/>
          <w:sz w:val="20"/>
        </w:rPr>
        <w:t>” and, together with the New Term Facility, the “</w:t>
      </w:r>
      <w:r>
        <w:rPr>
          <w:rFonts w:ascii="Times New Roman;Times;Serif" w:hAnsi="Times New Roman;Times;Serif"/>
          <w:b w:val="false"/>
          <w:i w:val="false"/>
          <w:caps w:val="false"/>
          <w:smallCaps w:val="false"/>
          <w:sz w:val="20"/>
          <w:u w:val="single"/>
        </w:rPr>
        <w:t>Facilities</w:t>
      </w:r>
      <w:r>
        <w:rPr>
          <w:rFonts w:ascii="Times New Roman;Times;Serif" w:hAnsi="Times New Roman;Times;Serif"/>
          <w:b w:val="false"/>
          <w:i w:val="false"/>
          <w:caps w:val="false"/>
          <w:smallCaps w:val="false"/>
          <w:sz w:val="20"/>
        </w:rPr>
        <w:t>”) on terms and subject to conditions set forth in the New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are secured by a lien on substantially all of the personal property owned by the Company and its material wholly-owned domestic subsidiaries and is guaranteed by all of the Company’s material wholly-owned domestic subsidiaries. The effectiveness of the New Credit Agreement, and the Company’s ability to borrow under the New Term Facility and the New Revolving Facility, are subject to customary closing conditions, including that the Company shall have repaid in full, and terminated the commitments to lending under and released all security interests granted in connection therewith, the Existing Credit Agreement. Such closing conditions were satisfied on August 13, 2024, and the New Credit Agreement is now effective. The Company’s ability to borrow under the New Term Facility, and the obligation of each Lender to make the initial term loans, are also subject to the substantially contemporaneous consummation of the Merger and certain other conditions (collectively, the “Merger Conditions”) which must be satisfied no later than 11:59 p.m., New York City time, on the fifth business day after December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mature on the date that is five years following the closing date of the New Credit Agreement, provided that if any of the Notes remain outstanding on the date that is 91 days prior to the maturity date of the Notes, the Facilities will mature on such date unless certain terms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option, loans under the Facilities accrue interest at a per annum rate equal to (i) the alternate base rate or (ii) the adjusted term SOFR rate for an interest period of one, three or six months, plus a spread depending on the Company’s first lien net leverage ratio, between 1.25% and 2.00% in the case of ABR loans and between 2.25% and 3.00% in the case of adjusted term SOFR rate loans. A commitment fee accrues on the unutilized commitments under the New Revolving Facility and, from and after the date that is two months after the closing date of the New Credit Agreement, the New Term Facility at a per annum rate equal between 0.25% and 0.40% depending on the Company’s first lien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Credit Agreement contains usual and customary representations and warranties of the parties for credit facilities of this type, subject to customary exceptions and materiality standards. In addition, the Company is required to maintain a first lien net leverage ratio not to exceed 3.00:1.00 (provided, that the lead borrower under the New Credit Agreement may elect to increase the ratio to 3.50:1.00 for four consecutive fiscal quarters following the consummation of a material acquisition) and a minimum interest coverage ratio of 3.00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Credit Agreement also contains certain customary covenants including but not limited to restrictions on the amount of debt the Company and its restricted subsidiaries may incur and payments the Company and its restricted subsidiaries may make, and events of default, as well as, in the event of an occurrence of an event of default, customary remedies for the Lenders, including the acceleration of any amounts outstanding under the New Credit Agreement. Notwithstanding the prior sentence, the obligation of each Lender to make the initial term loans is not subject to cancelation due to the failure to comply with such covenants or occurrence of events of default, so long as the Merger Conditions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New Credit Agreement does not purport to be complete and is subject to and qualified in its entirety by reference to the full text of the New Credit Agreement, which is filed as Exhibit 10.1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Company terminated the Existing Credit Agreement. In connection with the termination of the Existing Credit Agreement, the Company used proceeds from the offering of the Notes, together with cash on hand, to repay all outstanding loans, and terminate all commitments, under the Existing Credit Agreement, and to pay related accrued and unpaid interest, fees and expenses. As of the Closing Date, immediately prior to such repayment, approximately $292.5 million in aggregate principal amount was outstanding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Off-Balance Sheet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1.01 above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1.01 above is incorporated by reference into this Item 3.02. The Notes were issued to the initial purchasers in reliance upon Section 4(a)(2)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in transactions not involving any public offering. The Notes were resold by the initial purchasers to persons whom the initial purchasers reasonably believe are “qualified institutional buyers,” as defined in, and in accordance with, Rule 144A under the Securities Act. Any shares of the Company’s common stock that may be issued upon conversion of the Notes will be issued in reliance upon Section 3(a)(9) of the Securities Act as involving an exchange by the Company exclusively with its security holders. Initially, a maximum of 5,547,246 shares of the Company’s common stock may be issued upon conversion of the Notes, based on the initial maximum conversion rate of 17.5407 shares of common stock per $1,000 principal amount of Notes, which is subject to customary anti-dilution adjustment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Company issued a press release announcing that it has completed the sale of the Notes, pursuant to the purchase agreement between the Company and the initial purchasers of the Notes. A copy of the Company’s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Current Report on Form 8-K contains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or the negative of these words or other comparable terminology. Accordingly, these statements involve estimates, assumptions and uncertainties which could cause actual results to differ materially from those expressed in them. These statements may include, but are not limited to, statements about the offering and the closing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not rely upon forward-looking statements as predictions of future events. Such statements are based on management’s expectations as of the date of this Current Report on Form 8-K and involve many risks and uncertainties that could cause our actual results, events or circumstances to differ materially from those expressed or implied in our forward-looking statements. Such risks and uncertainties include those described throughout this offering memorandum and particularly in the section titled “Risk Factors” and elsewhere in this offering memorandum and the documents incorporated by reference herein, including in our Annual Report on Form 10-K for the fiscal year ended December 31, 2023, our Quarterly Report on Form 10-Q for the fiscal quarter ended June 30, 2024 and other filings made from time to time with the SEC. We undertake no obligation to update any forward-looking statements made in this Current Report on Form 8-K to reflect events or circumstances after the date of this filing or to reflect new information or the occurrence of unanticipated events, except as required by law.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75" w:type="dxa"/>
          <w:left w:w="75" w:type="dxa"/>
          <w:bottom w:w="75" w:type="dxa"/>
          <w:right w:w="75" w:type="dxa"/>
        </w:tblCellMar>
      </w:tblPr>
      <w:tblGrid>
        <w:gridCol w:w="815"/>
        <w:gridCol w:w="9390"/>
      </w:tblGrid>
      <w:tr>
        <w:trPr/>
        <w:tc>
          <w:tcPr>
            <w:tcW w:w="815" w:type="dxa"/>
            <w:tcBorders/>
            <w:vAlign w:val="center"/>
          </w:tcPr>
          <w:p>
            <w:pPr>
              <w:pStyle w:val="TableContents"/>
              <w:bidi w:val="0"/>
              <w:spacing w:before="0" w:after="283"/>
              <w:jc w:val="left"/>
              <w:rPr>
                <w:b/>
                <w:sz w:val="20"/>
                <w:u w:val="single"/>
              </w:rPr>
            </w:pPr>
            <w:r>
              <w:rPr>
                <w:b/>
                <w:sz w:val="20"/>
                <w:u w:val="single"/>
              </w:rPr>
              <w:t>Exhibit</w:t>
              <w:br/>
              <w:t>No.</w:t>
            </w:r>
          </w:p>
        </w:tc>
        <w:tc>
          <w:tcPr>
            <w:tcW w:w="9390" w:type="dxa"/>
            <w:tcBorders/>
            <w:vAlign w:val="center"/>
          </w:tcPr>
          <w:p>
            <w:pPr>
              <w:pStyle w:val="TableContents"/>
              <w:bidi w:val="0"/>
              <w:spacing w:before="0" w:after="283"/>
              <w:jc w:val="left"/>
              <w:rPr>
                <w:b/>
                <w:sz w:val="20"/>
                <w:u w:val="single"/>
              </w:rPr>
            </w:pPr>
            <w:r>
              <w:rPr>
                <w:b/>
                <w:sz w:val="20"/>
                <w:u w:val="single"/>
              </w:rPr>
              <w:t>Description</w:t>
            </w:r>
          </w:p>
        </w:tc>
      </w:tr>
      <w:tr>
        <w:trPr/>
        <w:tc>
          <w:tcPr>
            <w:tcW w:w="815" w:type="dxa"/>
            <w:tcBorders/>
            <w:vAlign w:val="center"/>
          </w:tcPr>
          <w:p>
            <w:pPr>
              <w:pStyle w:val="TableContents"/>
              <w:bidi w:val="0"/>
              <w:spacing w:before="0" w:after="283"/>
              <w:jc w:val="left"/>
              <w:rPr/>
            </w:pPr>
            <w:hyperlink w:anchor="dp216536_ex0401.htm">
              <w:r>
                <w:rPr>
                  <w:rStyle w:val="InternetLink"/>
                  <w:sz w:val="20"/>
                </w:rPr>
                <w:t xml:space="preserve">4.1 </w:t>
              </w:r>
            </w:hyperlink>
          </w:p>
        </w:tc>
        <w:tc>
          <w:tcPr>
            <w:tcW w:w="9390" w:type="dxa"/>
            <w:tcBorders/>
            <w:vAlign w:val="center"/>
          </w:tcPr>
          <w:p>
            <w:pPr>
              <w:pStyle w:val="TableContents"/>
              <w:bidi w:val="0"/>
              <w:spacing w:before="0" w:after="283"/>
              <w:jc w:val="left"/>
              <w:rPr/>
            </w:pPr>
            <w:hyperlink w:anchor="dp216536_ex0401.htm">
              <w:r>
                <w:rPr>
                  <w:rStyle w:val="InternetLink"/>
                  <w:sz w:val="20"/>
                </w:rPr>
                <w:t>Indenture, dated as of August 13, 2024, between ANI Pharmaceuticals, Inc. and U.S. Bank Trust Company, National Association, as trustee.</w:t>
              </w:r>
            </w:hyperlink>
          </w:p>
        </w:tc>
      </w:tr>
      <w:tr>
        <w:trPr/>
        <w:tc>
          <w:tcPr>
            <w:tcW w:w="815" w:type="dxa"/>
            <w:tcBorders/>
            <w:vAlign w:val="center"/>
          </w:tcPr>
          <w:p>
            <w:pPr>
              <w:pStyle w:val="TableContents"/>
              <w:bidi w:val="0"/>
              <w:spacing w:before="0" w:after="283"/>
              <w:jc w:val="left"/>
              <w:rPr/>
            </w:pPr>
            <w:hyperlink w:anchor="dp216536_ex0401.htm">
              <w:r>
                <w:rPr>
                  <w:rStyle w:val="InternetLink"/>
                  <w:sz w:val="20"/>
                </w:rPr>
                <w:t xml:space="preserve">4.2 </w:t>
              </w:r>
            </w:hyperlink>
          </w:p>
        </w:tc>
        <w:tc>
          <w:tcPr>
            <w:tcW w:w="9390" w:type="dxa"/>
            <w:tcBorders/>
            <w:vAlign w:val="center"/>
          </w:tcPr>
          <w:p>
            <w:pPr>
              <w:pStyle w:val="TableContents"/>
              <w:bidi w:val="0"/>
              <w:spacing w:before="0" w:after="283"/>
              <w:jc w:val="left"/>
              <w:rPr/>
            </w:pPr>
            <w:hyperlink w:anchor="dp216536_ex0401.htm">
              <w:r>
                <w:rPr>
                  <w:rStyle w:val="InternetLink"/>
                  <w:sz w:val="20"/>
                </w:rPr>
                <w:t>Form of certificate representing the 2.25% Convertible Senior Notes due 2029 (included as Exhibit A to Exhibit 4.1).</w:t>
              </w:r>
            </w:hyperlink>
          </w:p>
        </w:tc>
      </w:tr>
      <w:tr>
        <w:trPr/>
        <w:tc>
          <w:tcPr>
            <w:tcW w:w="815" w:type="dxa"/>
            <w:tcBorders/>
            <w:vAlign w:val="center"/>
          </w:tcPr>
          <w:p>
            <w:pPr>
              <w:pStyle w:val="TableContents"/>
              <w:bidi w:val="0"/>
              <w:spacing w:before="0" w:after="283"/>
              <w:jc w:val="left"/>
              <w:rPr/>
            </w:pPr>
            <w:hyperlink w:anchor="dp216536_ex1001.htm">
              <w:r>
                <w:rPr>
                  <w:rStyle w:val="InternetLink"/>
                  <w:sz w:val="20"/>
                </w:rPr>
                <w:t>10.1</w:t>
              </w:r>
            </w:hyperlink>
          </w:p>
        </w:tc>
        <w:tc>
          <w:tcPr>
            <w:tcW w:w="9390" w:type="dxa"/>
            <w:tcBorders/>
            <w:vAlign w:val="center"/>
          </w:tcPr>
          <w:p>
            <w:pPr>
              <w:pStyle w:val="TableContents"/>
              <w:bidi w:val="0"/>
              <w:spacing w:before="0" w:after="283"/>
              <w:jc w:val="left"/>
              <w:rPr/>
            </w:pPr>
            <w:hyperlink w:anchor="dp216536_ex1001.htm">
              <w:r>
                <w:rPr>
                  <w:rStyle w:val="InternetLink"/>
                  <w:sz w:val="20"/>
                </w:rPr>
                <w:t xml:space="preserve">Form of Capped Call Transaction Confirmation. </w:t>
              </w:r>
            </w:hyperlink>
          </w:p>
        </w:tc>
      </w:tr>
      <w:tr>
        <w:trPr/>
        <w:tc>
          <w:tcPr>
            <w:tcW w:w="815" w:type="dxa"/>
            <w:tcBorders/>
            <w:vAlign w:val="center"/>
          </w:tcPr>
          <w:p>
            <w:pPr>
              <w:pStyle w:val="TableContents"/>
              <w:bidi w:val="0"/>
              <w:spacing w:before="0" w:after="283"/>
              <w:jc w:val="left"/>
              <w:rPr/>
            </w:pPr>
            <w:hyperlink w:anchor="dp216536_ex1002.htm">
              <w:r>
                <w:rPr>
                  <w:rStyle w:val="InternetLink"/>
                  <w:sz w:val="20"/>
                </w:rPr>
                <w:t>10.2†</w:t>
              </w:r>
            </w:hyperlink>
          </w:p>
        </w:tc>
        <w:tc>
          <w:tcPr>
            <w:tcW w:w="9390" w:type="dxa"/>
            <w:tcBorders/>
            <w:vAlign w:val="center"/>
          </w:tcPr>
          <w:p>
            <w:pPr>
              <w:pStyle w:val="TableContents"/>
              <w:bidi w:val="0"/>
              <w:spacing w:before="0" w:after="283"/>
              <w:jc w:val="left"/>
              <w:rPr/>
            </w:pPr>
            <w:hyperlink w:anchor="dp216536_ex1002.htm">
              <w:r>
                <w:rPr>
                  <w:rStyle w:val="InternetLink"/>
                  <w:sz w:val="20"/>
                </w:rPr>
                <w:t>Credit Agreement, dated as of August 13, 2024, among ANI Pharmaceuticals, Inc., ANIP Acquisition Company, the guarantors party thereto, JPMorgan Chase Bank, N.A., as administrative agent, and other financial institutions as lenders.</w:t>
              </w:r>
            </w:hyperlink>
          </w:p>
        </w:tc>
      </w:tr>
      <w:tr>
        <w:trPr/>
        <w:tc>
          <w:tcPr>
            <w:tcW w:w="815" w:type="dxa"/>
            <w:tcBorders/>
            <w:vAlign w:val="center"/>
          </w:tcPr>
          <w:p>
            <w:pPr>
              <w:pStyle w:val="TableContents"/>
              <w:bidi w:val="0"/>
              <w:spacing w:before="0" w:after="283"/>
              <w:jc w:val="left"/>
              <w:rPr/>
            </w:pPr>
            <w:hyperlink w:anchor="dp216536_ex9901.htm">
              <w:r>
                <w:rPr>
                  <w:rStyle w:val="InternetLink"/>
                </w:rPr>
                <w:t>99.1</w:t>
              </w:r>
            </w:hyperlink>
          </w:p>
        </w:tc>
        <w:tc>
          <w:tcPr>
            <w:tcW w:w="9390" w:type="dxa"/>
            <w:tcBorders/>
            <w:vAlign w:val="center"/>
          </w:tcPr>
          <w:p>
            <w:pPr>
              <w:pStyle w:val="TableContents"/>
              <w:bidi w:val="0"/>
              <w:spacing w:before="0" w:after="283"/>
              <w:jc w:val="left"/>
              <w:rPr/>
            </w:pPr>
            <w:hyperlink w:anchor="dp216536_ex9901.htm">
              <w:r>
                <w:rPr>
                  <w:rStyle w:val="InternetLink"/>
                </w:rPr>
                <w:t>Press Release of the Company, dated August 13, 2024.</w:t>
              </w:r>
            </w:hyperlink>
          </w:p>
        </w:tc>
      </w:tr>
      <w:tr>
        <w:trPr/>
        <w:tc>
          <w:tcPr>
            <w:tcW w:w="815" w:type="dxa"/>
            <w:tcBorders/>
            <w:vAlign w:val="center"/>
          </w:tcPr>
          <w:p>
            <w:pPr>
              <w:pStyle w:val="TableContents"/>
              <w:bidi w:val="0"/>
              <w:spacing w:before="0" w:after="283"/>
              <w:jc w:val="left"/>
              <w:rPr>
                <w:sz w:val="20"/>
              </w:rPr>
            </w:pPr>
            <w:r>
              <w:rPr>
                <w:sz w:val="20"/>
              </w:rPr>
              <w:t>104</w:t>
            </w:r>
          </w:p>
        </w:tc>
        <w:tc>
          <w:tcPr>
            <w:tcW w:w="9390" w:type="dxa"/>
            <w:tcBorders/>
            <w:vAlign w:val="center"/>
          </w:tcPr>
          <w:p>
            <w:pPr>
              <w:pStyle w:val="TableContents"/>
              <w:bidi w:val="0"/>
              <w:spacing w:before="0" w:after="283"/>
              <w:jc w:val="left"/>
              <w:rPr>
                <w:sz w:val="20"/>
              </w:rPr>
            </w:pPr>
            <w:r>
              <w:rPr>
                <w:sz w:val="20"/>
              </w:rPr>
              <w:t>Cover Page Interactive Data File (embedded with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18"/>
        </w:rPr>
        <w:t>Certain schedules and certain exhibits to this exhibit have been omitted pursuant to Item 601(a)(5) of Regulation S-K. A copy of any omitted schedule or exhibit will be furnished supplementally to the SEC upon request; provided, however, that the parties may request confidential treatment pursuant to Rule 24b-2 of the Exchange Act for any document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1970"/>
        <w:gridCol w:w="545"/>
        <w:gridCol w:w="4715"/>
      </w:tblGrid>
      <w:tr>
        <w:trPr/>
        <w:tc>
          <w:tcPr>
            <w:tcW w:w="1970" w:type="dxa"/>
            <w:tcBorders/>
            <w:vAlign w:val="center"/>
          </w:tcPr>
          <w:p>
            <w:pPr>
              <w:pStyle w:val="TableContents"/>
              <w:bidi w:val="0"/>
              <w:spacing w:before="0" w:after="283"/>
              <w:jc w:val="left"/>
              <w:rPr>
                <w:sz w:val="20"/>
              </w:rPr>
            </w:pPr>
            <w:r>
              <w:rPr>
                <w:sz w:val="20"/>
              </w:rPr>
              <w:t>Dated: August 13, 2024</w:t>
            </w:r>
          </w:p>
        </w:tc>
        <w:tc>
          <w:tcPr>
            <w:tcW w:w="5260" w:type="dxa"/>
            <w:gridSpan w:val="2"/>
            <w:tcBorders/>
            <w:vAlign w:val="center"/>
          </w:tcPr>
          <w:p>
            <w:pPr>
              <w:pStyle w:val="TableContents"/>
              <w:bidi w:val="0"/>
              <w:spacing w:before="0" w:after="283"/>
              <w:jc w:val="left"/>
              <w:rPr>
                <w:sz w:val="20"/>
              </w:rPr>
            </w:pPr>
            <w:r>
              <w:rPr>
                <w:sz w:val="20"/>
              </w:rPr>
              <w:t>ANI PHARMACEUTICALS, INC.</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sz w:val="20"/>
              </w:rPr>
            </w:pPr>
            <w:r>
              <w:rPr>
                <w:sz w:val="20"/>
              </w:rPr>
              <w:t>By:</w:t>
            </w:r>
          </w:p>
        </w:tc>
        <w:tc>
          <w:tcPr>
            <w:tcW w:w="4715" w:type="dxa"/>
            <w:tcBorders/>
            <w:vAlign w:val="center"/>
          </w:tcPr>
          <w:p>
            <w:pPr>
              <w:pStyle w:val="TableContents"/>
              <w:bidi w:val="0"/>
              <w:spacing w:before="0" w:after="283"/>
              <w:jc w:val="both"/>
              <w:rPr>
                <w:sz w:val="20"/>
              </w:rPr>
            </w:pPr>
            <w:r>
              <w:rPr>
                <w:sz w:val="20"/>
              </w:rPr>
              <w:t>/s/ Stephen P. Carey</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715" w:type="dxa"/>
            <w:tcBorders>
              <w:top w:val="single" w:sz="8" w:space="0" w:color="000000"/>
            </w:tcBorders>
            <w:tcMar>
              <w:top w:w="28" w:type="dxa"/>
            </w:tcMar>
            <w:vAlign w:val="center"/>
          </w:tcPr>
          <w:p>
            <w:pPr>
              <w:pStyle w:val="TableContents"/>
              <w:bidi w:val="0"/>
              <w:spacing w:before="0" w:after="283"/>
              <w:jc w:val="left"/>
              <w:rPr>
                <w:sz w:val="20"/>
              </w:rPr>
            </w:pPr>
            <w:r>
              <w:rPr>
                <w:sz w:val="20"/>
              </w:rPr>
              <w:t>Stephen P. Carey</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715" w:type="dxa"/>
            <w:tcBorders/>
            <w:vAlign w:val="center"/>
          </w:tcPr>
          <w:p>
            <w:pPr>
              <w:pStyle w:val="TableContents"/>
              <w:bidi w:val="0"/>
              <w:spacing w:before="0" w:after="283"/>
              <w:jc w:val="left"/>
              <w:rPr>
                <w:sz w:val="20"/>
              </w:rPr>
            </w:pPr>
            <w:r>
              <w:rPr>
                <w:sz w:val="20"/>
              </w:rPr>
              <w:t>Senior Vice President Finance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2" w:name="dp216536_ex0401.htm"/>
      <w:bookmarkStart w:id="23" w:name="ksdp216536_ex0401"/>
      <w:bookmarkEnd w:id="22"/>
      <w:bookmarkEnd w:id="23"/>
      <w:r>
        <w:rPr/>
        <w:t> </w:t>
      </w:r>
      <w:r>
        <w:br w:type="page"/>
      </w:r>
    </w:p>
    <w:p>
      <w:pPr>
        <w:pStyle w:val="TextBody"/>
        <w:bidi w:val="0"/>
        <w:jc w:val="right"/>
        <w:rPr>
          <w:sz w:val="20"/>
        </w:rPr>
      </w:pPr>
      <w:r>
        <w:rPr>
          <w:b/>
          <w:sz w:val="20"/>
        </w:rPr>
        <w:t>Exhibit 4.1</w:t>
      </w:r>
      <w:r>
        <w:rPr>
          <w:sz w:val="2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ANI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&amp;boxh;&amp;boxh;&amp;boxh;&amp;boxh;&amp;boxh;&amp;boxh;&amp;boxh;&amp;boxh;&amp;boxh;&amp;boxh;&amp;boxh;&amp;boxh;&amp;boxh;&amp;boxh;&amp;boxh;&amp;boxh;&amp;boxh;&amp;boxh;&amp;boxh;&amp;boxh;&amp;boxh;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520" w:right="25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2520" w:right="2520" w:hanging="0"/>
        <w:jc w:val="center"/>
        <w:rPr>
          <w:caps w:val="false"/>
          <w:smallCaps w:val="false"/>
        </w:rPr>
      </w:pPr>
      <w:r>
        <w:rPr>
          <w:caps w:val="false"/>
          <w:smallCaps w:val="false"/>
        </w:rPr>
        <w:t> </w:t>
      </w:r>
    </w:p>
    <w:p>
      <w:pPr>
        <w:pStyle w:val="TextBody"/>
        <w:bidi w:val="0"/>
        <w:spacing w:before="0" w:after="0"/>
        <w:ind w:left="2880" w:right="28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13, 2024</w:t>
      </w:r>
    </w:p>
    <w:p>
      <w:pPr>
        <w:pStyle w:val="TextBody"/>
        <w:bidi w:val="0"/>
        <w:spacing w:before="0" w:after="0"/>
        <w:ind w:left="2880" w:right="288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&amp;boxh;&amp;boxh;&amp;boxh;&amp;boxh;&amp;boxh;&amp;boxh;&amp;boxh;&amp;boxh;&amp;boxh;&amp;boxh;&amp;boxh;&amp;boxh;&amp;boxh;&amp;boxh;&amp;boxh;&amp;boxh;&amp;boxh;&amp;boxh;&amp;boxh;&amp;boxh;&amp;boxh;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Convertible Senior Notes due 2029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amp;box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3930" w:type="dxa"/>
        <w:jc w:val="left"/>
        <w:tblInd w:w="0" w:type="dxa"/>
        <w:tblLayout w:type="fixed"/>
        <w:tblCellMar>
          <w:top w:w="30" w:type="dxa"/>
          <w:left w:w="30" w:type="dxa"/>
          <w:bottom w:w="30" w:type="dxa"/>
          <w:right w:w="30" w:type="dxa"/>
        </w:tblCellMar>
      </w:tblPr>
      <w:tblGrid>
        <w:gridCol w:w="845"/>
        <w:gridCol w:w="2885"/>
        <w:gridCol w:w="200"/>
      </w:tblGrid>
      <w:tr>
        <w:trPr/>
        <w:tc>
          <w:tcPr>
            <w:tcW w:w="845" w:type="dxa"/>
            <w:tcBorders/>
            <w:vAlign w:val="center"/>
          </w:tcPr>
          <w:p>
            <w:pPr>
              <w:pStyle w:val="TableContents"/>
              <w:bidi w:val="0"/>
              <w:spacing w:before="0" w:after="283"/>
              <w:ind w:left="0" w:right="0" w:hanging="0"/>
              <w:jc w:val="left"/>
              <w:rPr>
                <w:sz w:val="20"/>
              </w:rPr>
            </w:pPr>
            <w:r>
              <w:rPr>
                <w:sz w:val="20"/>
              </w:rPr>
              <w:t>Article 1.</w:t>
            </w:r>
          </w:p>
        </w:tc>
        <w:tc>
          <w:tcPr>
            <w:tcW w:w="2885" w:type="dxa"/>
            <w:tcBorders/>
            <w:vAlign w:val="center"/>
          </w:tcPr>
          <w:p>
            <w:pPr>
              <w:pStyle w:val="TableContents"/>
              <w:bidi w:val="0"/>
              <w:spacing w:before="0" w:after="283"/>
              <w:ind w:left="0" w:right="0" w:hanging="0"/>
              <w:jc w:val="left"/>
              <w:rPr>
                <w:sz w:val="20"/>
              </w:rPr>
            </w:pPr>
            <w:r>
              <w:rPr>
                <w:sz w:val="20"/>
              </w:rPr>
              <w:t>Definitions; Rules of Construction</w:t>
            </w:r>
          </w:p>
        </w:tc>
        <w:tc>
          <w:tcPr>
            <w:tcW w:w="200" w:type="dxa"/>
            <w:tcBorders/>
            <w:vAlign w:val="center"/>
          </w:tcPr>
          <w:p>
            <w:pPr>
              <w:pStyle w:val="TableContents"/>
              <w:bidi w:val="0"/>
              <w:spacing w:before="0" w:after="283"/>
              <w:jc w:val="right"/>
              <w:rPr>
                <w:sz w:val="20"/>
              </w:rPr>
            </w:pPr>
            <w:r>
              <w:rPr>
                <w:sz w:val="20"/>
              </w:rPr>
              <w:t>1</w:t>
            </w:r>
          </w:p>
        </w:tc>
      </w:tr>
    </w:tbl>
    <w:p>
      <w:pPr>
        <w:pStyle w:val="TextBody"/>
        <w:bidi w:val="0"/>
        <w:spacing w:before="0" w:after="0"/>
        <w:ind w:left="1080" w:right="0" w:hanging="108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160"/>
        <w:gridCol w:w="1910"/>
        <w:gridCol w:w="305"/>
      </w:tblGrid>
      <w:tr>
        <w:trPr/>
        <w:tc>
          <w:tcPr>
            <w:tcW w:w="1160" w:type="dxa"/>
            <w:tcBorders/>
            <w:vAlign w:val="center"/>
          </w:tcPr>
          <w:p>
            <w:pPr>
              <w:pStyle w:val="TableContents"/>
              <w:bidi w:val="0"/>
              <w:spacing w:before="0" w:after="283"/>
              <w:ind w:left="0" w:right="0" w:hanging="0"/>
              <w:jc w:val="left"/>
              <w:rPr>
                <w:sz w:val="20"/>
              </w:rPr>
            </w:pPr>
            <w:r>
              <w:rPr>
                <w:sz w:val="20"/>
              </w:rPr>
              <w:t>Section 1.01.</w:t>
            </w:r>
          </w:p>
        </w:tc>
        <w:tc>
          <w:tcPr>
            <w:tcW w:w="191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Definitions.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1</w:t>
            </w:r>
          </w:p>
        </w:tc>
      </w:tr>
      <w:tr>
        <w:trPr/>
        <w:tc>
          <w:tcPr>
            <w:tcW w:w="1160" w:type="dxa"/>
            <w:tcBorders/>
            <w:vAlign w:val="center"/>
          </w:tcPr>
          <w:p>
            <w:pPr>
              <w:pStyle w:val="TableContents"/>
              <w:bidi w:val="0"/>
              <w:spacing w:before="0" w:after="283"/>
              <w:ind w:left="0" w:right="0" w:hanging="0"/>
              <w:jc w:val="left"/>
              <w:rPr>
                <w:sz w:val="20"/>
              </w:rPr>
            </w:pPr>
            <w:r>
              <w:rPr>
                <w:sz w:val="20"/>
              </w:rPr>
              <w:t>Section 1.02.</w:t>
            </w:r>
          </w:p>
        </w:tc>
        <w:tc>
          <w:tcPr>
            <w:tcW w:w="191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Other Definitions.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13</w:t>
            </w:r>
          </w:p>
        </w:tc>
      </w:tr>
      <w:tr>
        <w:trPr/>
        <w:tc>
          <w:tcPr>
            <w:tcW w:w="1160" w:type="dxa"/>
            <w:tcBorders/>
            <w:vAlign w:val="center"/>
          </w:tcPr>
          <w:p>
            <w:pPr>
              <w:pStyle w:val="TableContents"/>
              <w:bidi w:val="0"/>
              <w:spacing w:before="0" w:after="283"/>
              <w:ind w:left="0" w:right="0" w:hanging="0"/>
              <w:jc w:val="left"/>
              <w:rPr>
                <w:sz w:val="20"/>
              </w:rPr>
            </w:pPr>
            <w:r>
              <w:rPr>
                <w:sz w:val="20"/>
              </w:rPr>
              <w:t>Section 1.03.</w:t>
            </w:r>
          </w:p>
        </w:tc>
        <w:tc>
          <w:tcPr>
            <w:tcW w:w="191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Rules of Construction.</w:t>
            </w:r>
          </w:p>
        </w:tc>
        <w:tc>
          <w:tcPr>
            <w:tcW w:w="305"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14</w:t>
            </w:r>
          </w:p>
        </w:tc>
      </w:tr>
    </w:tbl>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1080" w:right="0" w:hanging="1080"/>
        <w:jc w:val="left"/>
        <w:rPr>
          <w:caps w:val="false"/>
          <w:smallCaps w:val="false"/>
        </w:rPr>
      </w:pPr>
      <w:r>
        <w:rPr>
          <w:caps w:val="false"/>
          <w:smallCaps w:val="false"/>
        </w:rPr>
        <w:t> </w:t>
      </w:r>
    </w:p>
    <w:tbl>
      <w:tblPr>
        <w:tblW w:w="2055" w:type="dxa"/>
        <w:jc w:val="left"/>
        <w:tblInd w:w="0" w:type="dxa"/>
        <w:tblLayout w:type="fixed"/>
        <w:tblCellMar>
          <w:top w:w="30" w:type="dxa"/>
          <w:left w:w="30" w:type="dxa"/>
          <w:bottom w:w="30" w:type="dxa"/>
          <w:right w:w="30" w:type="dxa"/>
        </w:tblCellMar>
      </w:tblPr>
      <w:tblGrid>
        <w:gridCol w:w="845"/>
        <w:gridCol w:w="905"/>
        <w:gridCol w:w="305"/>
      </w:tblGrid>
      <w:tr>
        <w:trPr/>
        <w:tc>
          <w:tcPr>
            <w:tcW w:w="845" w:type="dxa"/>
            <w:tcBorders/>
            <w:vAlign w:val="center"/>
          </w:tcPr>
          <w:p>
            <w:pPr>
              <w:pStyle w:val="TableContents"/>
              <w:bidi w:val="0"/>
              <w:spacing w:before="0" w:after="283"/>
              <w:ind w:left="0" w:right="0" w:hanging="0"/>
              <w:jc w:val="left"/>
              <w:rPr>
                <w:sz w:val="20"/>
              </w:rPr>
            </w:pPr>
            <w:r>
              <w:rPr>
                <w:sz w:val="20"/>
              </w:rPr>
              <w:t>Article 2.</w:t>
            </w:r>
          </w:p>
        </w:tc>
        <w:tc>
          <w:tcPr>
            <w:tcW w:w="905" w:type="dxa"/>
            <w:tcBorders/>
            <w:vAlign w:val="center"/>
          </w:tcPr>
          <w:p>
            <w:pPr>
              <w:pStyle w:val="TableContents"/>
              <w:bidi w:val="0"/>
              <w:spacing w:before="0" w:after="283"/>
              <w:ind w:left="0" w:right="0" w:hanging="0"/>
              <w:jc w:val="left"/>
              <w:rPr>
                <w:sz w:val="20"/>
              </w:rPr>
            </w:pPr>
            <w:r>
              <w:rPr>
                <w:sz w:val="20"/>
              </w:rPr>
              <w:t>The Notes</w:t>
            </w:r>
          </w:p>
        </w:tc>
        <w:tc>
          <w:tcPr>
            <w:tcW w:w="305" w:type="dxa"/>
            <w:tcBorders/>
            <w:vAlign w:val="center"/>
          </w:tcPr>
          <w:p>
            <w:pPr>
              <w:pStyle w:val="TableContents"/>
              <w:bidi w:val="0"/>
              <w:spacing w:before="0" w:after="283"/>
              <w:jc w:val="right"/>
              <w:rPr>
                <w:sz w:val="20"/>
              </w:rPr>
            </w:pPr>
            <w:r>
              <w:rPr>
                <w:sz w:val="20"/>
              </w:rPr>
              <w:t>14</w:t>
            </w:r>
          </w:p>
        </w:tc>
      </w:tr>
    </w:tbl>
    <w:p>
      <w:pPr>
        <w:pStyle w:val="TextBody"/>
        <w:bidi w:val="0"/>
        <w:spacing w:before="0" w:after="0"/>
        <w:ind w:left="1080" w:right="0" w:hanging="10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0"/>
        <w:gridCol w:w="8869"/>
        <w:gridCol w:w="306"/>
      </w:tblGrid>
      <w:tr>
        <w:trPr/>
        <w:tc>
          <w:tcPr>
            <w:tcW w:w="1030" w:type="dxa"/>
            <w:tcBorders/>
            <w:vAlign w:val="center"/>
          </w:tcPr>
          <w:p>
            <w:pPr>
              <w:pStyle w:val="TableContents"/>
              <w:bidi w:val="0"/>
              <w:spacing w:before="0" w:after="283"/>
              <w:ind w:left="0" w:right="0" w:hanging="0"/>
              <w:jc w:val="left"/>
              <w:rPr>
                <w:sz w:val="20"/>
              </w:rPr>
            </w:pPr>
            <w:r>
              <w:rPr>
                <w:sz w:val="20"/>
              </w:rPr>
              <w:t>Section 2.01.</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Form, Dating and Denominations.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14</w:t>
            </w:r>
          </w:p>
        </w:tc>
      </w:tr>
      <w:tr>
        <w:trPr/>
        <w:tc>
          <w:tcPr>
            <w:tcW w:w="1030" w:type="dxa"/>
            <w:tcBorders/>
            <w:vAlign w:val="center"/>
          </w:tcPr>
          <w:p>
            <w:pPr>
              <w:pStyle w:val="TableContents"/>
              <w:bidi w:val="0"/>
              <w:spacing w:before="0" w:after="283"/>
              <w:ind w:left="0" w:right="0" w:hanging="0"/>
              <w:jc w:val="left"/>
              <w:rPr>
                <w:sz w:val="20"/>
              </w:rPr>
            </w:pPr>
            <w:r>
              <w:rPr>
                <w:sz w:val="20"/>
              </w:rPr>
              <w:t>Section 2.02.</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Execution, Authentication and Delivery.</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15</w:t>
            </w:r>
          </w:p>
        </w:tc>
      </w:tr>
      <w:tr>
        <w:trPr/>
        <w:tc>
          <w:tcPr>
            <w:tcW w:w="1030" w:type="dxa"/>
            <w:tcBorders/>
            <w:vAlign w:val="center"/>
          </w:tcPr>
          <w:p>
            <w:pPr>
              <w:pStyle w:val="TableContents"/>
              <w:bidi w:val="0"/>
              <w:spacing w:before="0" w:after="283"/>
              <w:ind w:left="0" w:right="0" w:hanging="0"/>
              <w:jc w:val="left"/>
              <w:rPr>
                <w:sz w:val="20"/>
              </w:rPr>
            </w:pPr>
            <w:r>
              <w:rPr>
                <w:sz w:val="20"/>
              </w:rPr>
              <w:t>Section 2.03.</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Initial Notes and Additional Notes.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16</w:t>
            </w:r>
          </w:p>
        </w:tc>
      </w:tr>
      <w:tr>
        <w:trPr/>
        <w:tc>
          <w:tcPr>
            <w:tcW w:w="1030" w:type="dxa"/>
            <w:tcBorders/>
            <w:vAlign w:val="center"/>
          </w:tcPr>
          <w:p>
            <w:pPr>
              <w:pStyle w:val="TableContents"/>
              <w:bidi w:val="0"/>
              <w:spacing w:before="0" w:after="283"/>
              <w:ind w:left="0" w:right="0" w:hanging="0"/>
              <w:jc w:val="left"/>
              <w:rPr>
                <w:sz w:val="20"/>
              </w:rPr>
            </w:pPr>
            <w:r>
              <w:rPr>
                <w:sz w:val="20"/>
              </w:rPr>
              <w:t>Section 2.04.</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Method of Payment.</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16</w:t>
            </w:r>
          </w:p>
        </w:tc>
      </w:tr>
      <w:tr>
        <w:trPr/>
        <w:tc>
          <w:tcPr>
            <w:tcW w:w="1030" w:type="dxa"/>
            <w:tcBorders/>
            <w:vAlign w:val="center"/>
          </w:tcPr>
          <w:p>
            <w:pPr>
              <w:pStyle w:val="TableContents"/>
              <w:bidi w:val="0"/>
              <w:spacing w:before="0" w:after="283"/>
              <w:ind w:left="0" w:right="0" w:hanging="0"/>
              <w:jc w:val="left"/>
              <w:rPr>
                <w:sz w:val="20"/>
              </w:rPr>
            </w:pPr>
            <w:r>
              <w:rPr>
                <w:sz w:val="20"/>
              </w:rPr>
              <w:t>Section 2.05.</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Accrual of Interest; Defaulted Amounts; When Payment Date is Not a Business Day.</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17</w:t>
            </w:r>
          </w:p>
        </w:tc>
      </w:tr>
      <w:tr>
        <w:trPr/>
        <w:tc>
          <w:tcPr>
            <w:tcW w:w="1030" w:type="dxa"/>
            <w:tcBorders/>
            <w:vAlign w:val="center"/>
          </w:tcPr>
          <w:p>
            <w:pPr>
              <w:pStyle w:val="TableContents"/>
              <w:bidi w:val="0"/>
              <w:spacing w:before="0" w:after="283"/>
              <w:ind w:left="0" w:right="0" w:hanging="0"/>
              <w:jc w:val="left"/>
              <w:rPr>
                <w:sz w:val="20"/>
              </w:rPr>
            </w:pPr>
            <w:r>
              <w:rPr>
                <w:sz w:val="20"/>
              </w:rPr>
              <w:t>Section 2.06.</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Registrar, Paying Agent and Conversion Agent.</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18</w:t>
            </w:r>
          </w:p>
        </w:tc>
      </w:tr>
      <w:tr>
        <w:trPr/>
        <w:tc>
          <w:tcPr>
            <w:tcW w:w="1030" w:type="dxa"/>
            <w:tcBorders/>
            <w:vAlign w:val="center"/>
          </w:tcPr>
          <w:p>
            <w:pPr>
              <w:pStyle w:val="TableContents"/>
              <w:bidi w:val="0"/>
              <w:spacing w:before="0" w:after="283"/>
              <w:ind w:left="0" w:right="0" w:hanging="0"/>
              <w:jc w:val="left"/>
              <w:rPr>
                <w:sz w:val="20"/>
              </w:rPr>
            </w:pPr>
            <w:r>
              <w:rPr>
                <w:sz w:val="20"/>
              </w:rPr>
              <w:t>Section 2.07.</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Paying Agent and Conversion Agent to Hold Property in Trust.</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18</w:t>
            </w:r>
          </w:p>
        </w:tc>
      </w:tr>
      <w:tr>
        <w:trPr/>
        <w:tc>
          <w:tcPr>
            <w:tcW w:w="1030" w:type="dxa"/>
            <w:tcBorders/>
            <w:vAlign w:val="center"/>
          </w:tcPr>
          <w:p>
            <w:pPr>
              <w:pStyle w:val="TableContents"/>
              <w:bidi w:val="0"/>
              <w:spacing w:before="0" w:after="283"/>
              <w:ind w:left="0" w:right="0" w:hanging="0"/>
              <w:jc w:val="left"/>
              <w:rPr>
                <w:sz w:val="20"/>
              </w:rPr>
            </w:pPr>
            <w:r>
              <w:rPr>
                <w:sz w:val="20"/>
              </w:rPr>
              <w:t>Section 2.08.</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Holder Lists.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19</w:t>
            </w:r>
          </w:p>
        </w:tc>
      </w:tr>
      <w:tr>
        <w:trPr/>
        <w:tc>
          <w:tcPr>
            <w:tcW w:w="1030" w:type="dxa"/>
            <w:tcBorders/>
            <w:vAlign w:val="center"/>
          </w:tcPr>
          <w:p>
            <w:pPr>
              <w:pStyle w:val="TableContents"/>
              <w:bidi w:val="0"/>
              <w:spacing w:before="0" w:after="283"/>
              <w:ind w:left="0" w:right="0" w:hanging="0"/>
              <w:jc w:val="left"/>
              <w:rPr>
                <w:sz w:val="20"/>
              </w:rPr>
            </w:pPr>
            <w:r>
              <w:rPr>
                <w:sz w:val="20"/>
              </w:rPr>
              <w:t>Section 2.09.</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Legends.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19</w:t>
            </w:r>
          </w:p>
        </w:tc>
      </w:tr>
      <w:tr>
        <w:trPr/>
        <w:tc>
          <w:tcPr>
            <w:tcW w:w="1030" w:type="dxa"/>
            <w:tcBorders/>
            <w:vAlign w:val="center"/>
          </w:tcPr>
          <w:p>
            <w:pPr>
              <w:pStyle w:val="TableContents"/>
              <w:bidi w:val="0"/>
              <w:spacing w:before="0" w:after="283"/>
              <w:ind w:left="0" w:right="0" w:hanging="0"/>
              <w:jc w:val="left"/>
              <w:rPr>
                <w:sz w:val="20"/>
              </w:rPr>
            </w:pPr>
            <w:r>
              <w:rPr>
                <w:sz w:val="20"/>
              </w:rPr>
              <w:t>Section 2.10.</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Transfers and Exchanges; Certain Transfer Restrictions.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20</w:t>
            </w:r>
          </w:p>
        </w:tc>
      </w:tr>
      <w:tr>
        <w:trPr/>
        <w:tc>
          <w:tcPr>
            <w:tcW w:w="1030" w:type="dxa"/>
            <w:tcBorders/>
            <w:vAlign w:val="center"/>
          </w:tcPr>
          <w:p>
            <w:pPr>
              <w:pStyle w:val="TableContents"/>
              <w:bidi w:val="0"/>
              <w:spacing w:before="0" w:after="283"/>
              <w:ind w:left="0" w:right="0" w:hanging="0"/>
              <w:jc w:val="left"/>
              <w:rPr>
                <w:sz w:val="20"/>
              </w:rPr>
            </w:pPr>
            <w:r>
              <w:rPr>
                <w:sz w:val="20"/>
              </w:rPr>
              <w:t>Section 2.11.</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Exchange and Cancellation of Notes to Be Converted or to Be Repurchased Pursuant to a Repurchase Upon Fundamental Change or Redemption.</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25</w:t>
            </w:r>
          </w:p>
        </w:tc>
      </w:tr>
      <w:tr>
        <w:trPr/>
        <w:tc>
          <w:tcPr>
            <w:tcW w:w="1030" w:type="dxa"/>
            <w:tcBorders/>
            <w:vAlign w:val="center"/>
          </w:tcPr>
          <w:p>
            <w:pPr>
              <w:pStyle w:val="TableContents"/>
              <w:bidi w:val="0"/>
              <w:spacing w:before="0" w:after="283"/>
              <w:ind w:left="0" w:right="0" w:hanging="0"/>
              <w:jc w:val="left"/>
              <w:rPr>
                <w:sz w:val="20"/>
              </w:rPr>
            </w:pPr>
            <w:r>
              <w:rPr>
                <w:sz w:val="20"/>
              </w:rPr>
              <w:t>Section 2.12.</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Removal of Transfer Restrictions.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26</w:t>
            </w:r>
          </w:p>
        </w:tc>
      </w:tr>
      <w:tr>
        <w:trPr/>
        <w:tc>
          <w:tcPr>
            <w:tcW w:w="1030" w:type="dxa"/>
            <w:tcBorders/>
            <w:vAlign w:val="center"/>
          </w:tcPr>
          <w:p>
            <w:pPr>
              <w:pStyle w:val="TableContents"/>
              <w:bidi w:val="0"/>
              <w:spacing w:before="0" w:after="283"/>
              <w:ind w:left="0" w:right="0" w:hanging="0"/>
              <w:jc w:val="left"/>
              <w:rPr>
                <w:sz w:val="20"/>
              </w:rPr>
            </w:pPr>
            <w:r>
              <w:rPr>
                <w:sz w:val="20"/>
              </w:rPr>
              <w:t>Section 2.13.</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Replacement Notes.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26</w:t>
            </w:r>
          </w:p>
        </w:tc>
      </w:tr>
      <w:tr>
        <w:trPr/>
        <w:tc>
          <w:tcPr>
            <w:tcW w:w="1030" w:type="dxa"/>
            <w:tcBorders/>
            <w:vAlign w:val="center"/>
          </w:tcPr>
          <w:p>
            <w:pPr>
              <w:pStyle w:val="TableContents"/>
              <w:bidi w:val="0"/>
              <w:spacing w:before="0" w:after="283"/>
              <w:ind w:left="0" w:right="0" w:hanging="0"/>
              <w:jc w:val="left"/>
              <w:rPr>
                <w:sz w:val="20"/>
              </w:rPr>
            </w:pPr>
            <w:r>
              <w:rPr>
                <w:sz w:val="20"/>
              </w:rPr>
              <w:t>Section 2.14.</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Registered Holders; Certain Rights with Respect to Global Notes.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27</w:t>
            </w:r>
          </w:p>
        </w:tc>
      </w:tr>
      <w:tr>
        <w:trPr/>
        <w:tc>
          <w:tcPr>
            <w:tcW w:w="1030" w:type="dxa"/>
            <w:tcBorders/>
            <w:vAlign w:val="center"/>
          </w:tcPr>
          <w:p>
            <w:pPr>
              <w:pStyle w:val="TableContents"/>
              <w:bidi w:val="0"/>
              <w:spacing w:before="0" w:after="283"/>
              <w:ind w:left="0" w:right="0" w:hanging="0"/>
              <w:jc w:val="left"/>
              <w:rPr>
                <w:sz w:val="20"/>
              </w:rPr>
            </w:pPr>
            <w:r>
              <w:rPr>
                <w:sz w:val="20"/>
              </w:rPr>
              <w:t>Section 2.15.</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Cancellation.</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27</w:t>
            </w:r>
          </w:p>
        </w:tc>
      </w:tr>
      <w:tr>
        <w:trPr/>
        <w:tc>
          <w:tcPr>
            <w:tcW w:w="1030" w:type="dxa"/>
            <w:tcBorders/>
            <w:vAlign w:val="center"/>
          </w:tcPr>
          <w:p>
            <w:pPr>
              <w:pStyle w:val="TableContents"/>
              <w:bidi w:val="0"/>
              <w:spacing w:before="0" w:after="283"/>
              <w:ind w:left="0" w:right="0" w:hanging="0"/>
              <w:jc w:val="left"/>
              <w:rPr>
                <w:sz w:val="20"/>
              </w:rPr>
            </w:pPr>
            <w:r>
              <w:rPr>
                <w:sz w:val="20"/>
              </w:rPr>
              <w:t>Section 2.16.</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Notes Held by the Company or its Affiliates.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27</w:t>
            </w:r>
          </w:p>
        </w:tc>
      </w:tr>
      <w:tr>
        <w:trPr/>
        <w:tc>
          <w:tcPr>
            <w:tcW w:w="1030" w:type="dxa"/>
            <w:tcBorders/>
            <w:vAlign w:val="center"/>
          </w:tcPr>
          <w:p>
            <w:pPr>
              <w:pStyle w:val="TableContents"/>
              <w:bidi w:val="0"/>
              <w:spacing w:before="0" w:after="283"/>
              <w:ind w:left="0" w:right="0" w:hanging="0"/>
              <w:jc w:val="left"/>
              <w:rPr>
                <w:sz w:val="20"/>
              </w:rPr>
            </w:pPr>
            <w:r>
              <w:rPr>
                <w:sz w:val="20"/>
              </w:rPr>
              <w:t>Section 2.17.</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Temporary Notes.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27</w:t>
            </w:r>
          </w:p>
        </w:tc>
      </w:tr>
      <w:tr>
        <w:trPr/>
        <w:tc>
          <w:tcPr>
            <w:tcW w:w="1030" w:type="dxa"/>
            <w:tcBorders/>
            <w:vAlign w:val="center"/>
          </w:tcPr>
          <w:p>
            <w:pPr>
              <w:pStyle w:val="TableContents"/>
              <w:bidi w:val="0"/>
              <w:spacing w:before="0" w:after="283"/>
              <w:ind w:left="0" w:right="0" w:hanging="0"/>
              <w:jc w:val="left"/>
              <w:rPr>
                <w:sz w:val="20"/>
              </w:rPr>
            </w:pPr>
            <w:r>
              <w:rPr>
                <w:sz w:val="20"/>
              </w:rPr>
              <w:t>Section 2.18.</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Outstanding Notes.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27</w:t>
            </w:r>
          </w:p>
        </w:tc>
      </w:tr>
      <w:tr>
        <w:trPr/>
        <w:tc>
          <w:tcPr>
            <w:tcW w:w="1030" w:type="dxa"/>
            <w:tcBorders/>
            <w:vAlign w:val="center"/>
          </w:tcPr>
          <w:p>
            <w:pPr>
              <w:pStyle w:val="TableContents"/>
              <w:bidi w:val="0"/>
              <w:spacing w:before="0" w:after="283"/>
              <w:ind w:left="0" w:right="0" w:hanging="0"/>
              <w:jc w:val="left"/>
              <w:rPr>
                <w:sz w:val="20"/>
              </w:rPr>
            </w:pPr>
            <w:r>
              <w:rPr>
                <w:sz w:val="20"/>
              </w:rPr>
              <w:t>Section 2.19.</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Repurchases by the Company.</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28</w:t>
            </w:r>
          </w:p>
        </w:tc>
      </w:tr>
      <w:tr>
        <w:trPr/>
        <w:tc>
          <w:tcPr>
            <w:tcW w:w="1030" w:type="dxa"/>
            <w:tcBorders/>
            <w:vAlign w:val="center"/>
          </w:tcPr>
          <w:p>
            <w:pPr>
              <w:pStyle w:val="TableContents"/>
              <w:bidi w:val="0"/>
              <w:spacing w:before="0" w:after="283"/>
              <w:ind w:left="0" w:right="0" w:hanging="0"/>
              <w:jc w:val="left"/>
              <w:rPr>
                <w:sz w:val="20"/>
              </w:rPr>
            </w:pPr>
            <w:r>
              <w:rPr>
                <w:sz w:val="20"/>
              </w:rPr>
              <w:t>Section 2.20.</w:t>
            </w:r>
          </w:p>
        </w:tc>
        <w:tc>
          <w:tcPr>
            <w:tcW w:w="886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CUSIP and ISIN Numbers.</w:t>
            </w:r>
          </w:p>
        </w:tc>
        <w:tc>
          <w:tcPr>
            <w:tcW w:w="306"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28</w:t>
            </w:r>
          </w:p>
        </w:tc>
      </w:tr>
    </w:tbl>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1080" w:right="0" w:hanging="1080"/>
        <w:jc w:val="left"/>
        <w:rPr>
          <w:caps w:val="false"/>
          <w:smallCaps w:val="false"/>
        </w:rPr>
      </w:pPr>
      <w:r>
        <w:rPr>
          <w:caps w:val="false"/>
          <w:smallCaps w:val="false"/>
        </w:rPr>
        <w:t> </w:t>
      </w:r>
    </w:p>
    <w:tbl>
      <w:tblPr>
        <w:tblW w:w="2100" w:type="dxa"/>
        <w:jc w:val="left"/>
        <w:tblInd w:w="0" w:type="dxa"/>
        <w:tblLayout w:type="fixed"/>
        <w:tblCellMar>
          <w:top w:w="30" w:type="dxa"/>
          <w:left w:w="30" w:type="dxa"/>
          <w:bottom w:w="30" w:type="dxa"/>
          <w:right w:w="30" w:type="dxa"/>
        </w:tblCellMar>
      </w:tblPr>
      <w:tblGrid>
        <w:gridCol w:w="845"/>
        <w:gridCol w:w="950"/>
        <w:gridCol w:w="305"/>
      </w:tblGrid>
      <w:tr>
        <w:trPr/>
        <w:tc>
          <w:tcPr>
            <w:tcW w:w="845" w:type="dxa"/>
            <w:tcBorders/>
            <w:vAlign w:val="center"/>
          </w:tcPr>
          <w:p>
            <w:pPr>
              <w:pStyle w:val="TableContents"/>
              <w:bidi w:val="0"/>
              <w:spacing w:before="0" w:after="283"/>
              <w:ind w:left="0" w:right="0" w:hanging="0"/>
              <w:jc w:val="left"/>
              <w:rPr>
                <w:sz w:val="20"/>
              </w:rPr>
            </w:pPr>
            <w:r>
              <w:rPr>
                <w:sz w:val="20"/>
              </w:rPr>
              <w:t>Article 3.</w:t>
            </w:r>
          </w:p>
        </w:tc>
        <w:tc>
          <w:tcPr>
            <w:tcW w:w="950" w:type="dxa"/>
            <w:tcBorders/>
            <w:vAlign w:val="center"/>
          </w:tcPr>
          <w:p>
            <w:pPr>
              <w:pStyle w:val="TableContents"/>
              <w:bidi w:val="0"/>
              <w:spacing w:before="0" w:after="283"/>
              <w:ind w:left="0" w:right="0" w:hanging="0"/>
              <w:jc w:val="left"/>
              <w:rPr>
                <w:sz w:val="20"/>
              </w:rPr>
            </w:pPr>
            <w:r>
              <w:rPr>
                <w:sz w:val="20"/>
              </w:rPr>
              <w:t>Covenants</w:t>
            </w:r>
          </w:p>
        </w:tc>
        <w:tc>
          <w:tcPr>
            <w:tcW w:w="305" w:type="dxa"/>
            <w:tcBorders/>
            <w:vAlign w:val="center"/>
          </w:tcPr>
          <w:p>
            <w:pPr>
              <w:pStyle w:val="TableContents"/>
              <w:bidi w:val="0"/>
              <w:spacing w:before="0" w:after="283"/>
              <w:jc w:val="right"/>
              <w:rPr>
                <w:sz w:val="20"/>
              </w:rPr>
            </w:pPr>
            <w:r>
              <w:rPr>
                <w:sz w:val="20"/>
              </w:rPr>
              <w:t>29</w:t>
            </w:r>
          </w:p>
        </w:tc>
      </w:tr>
    </w:tbl>
    <w:p>
      <w:pPr>
        <w:pStyle w:val="TextBody"/>
        <w:bidi w:val="0"/>
        <w:spacing w:before="0" w:after="0"/>
        <w:ind w:left="1080" w:right="0" w:hanging="108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1160"/>
        <w:gridCol w:w="4580"/>
        <w:gridCol w:w="305"/>
      </w:tblGrid>
      <w:tr>
        <w:trPr/>
        <w:tc>
          <w:tcPr>
            <w:tcW w:w="1160" w:type="dxa"/>
            <w:tcBorders/>
            <w:vAlign w:val="center"/>
          </w:tcPr>
          <w:p>
            <w:pPr>
              <w:pStyle w:val="TableContents"/>
              <w:bidi w:val="0"/>
              <w:spacing w:before="0" w:after="283"/>
              <w:ind w:left="0" w:right="0" w:hanging="0"/>
              <w:jc w:val="left"/>
              <w:rPr>
                <w:sz w:val="20"/>
              </w:rPr>
            </w:pPr>
            <w:r>
              <w:rPr>
                <w:sz w:val="20"/>
              </w:rPr>
              <w:t>Section 3.01.</w:t>
            </w:r>
          </w:p>
        </w:tc>
        <w:tc>
          <w:tcPr>
            <w:tcW w:w="458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Payment on Notes.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29</w:t>
            </w:r>
          </w:p>
        </w:tc>
      </w:tr>
      <w:tr>
        <w:trPr/>
        <w:tc>
          <w:tcPr>
            <w:tcW w:w="1160" w:type="dxa"/>
            <w:tcBorders/>
            <w:vAlign w:val="center"/>
          </w:tcPr>
          <w:p>
            <w:pPr>
              <w:pStyle w:val="TableContents"/>
              <w:bidi w:val="0"/>
              <w:spacing w:before="0" w:after="283"/>
              <w:ind w:left="0" w:right="0" w:hanging="0"/>
              <w:jc w:val="left"/>
              <w:rPr>
                <w:sz w:val="20"/>
              </w:rPr>
            </w:pPr>
            <w:r>
              <w:rPr>
                <w:sz w:val="20"/>
              </w:rPr>
              <w:t>Section 3.02.</w:t>
            </w:r>
          </w:p>
        </w:tc>
        <w:tc>
          <w:tcPr>
            <w:tcW w:w="458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Exchange Act Reports.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29</w:t>
            </w:r>
          </w:p>
        </w:tc>
      </w:tr>
      <w:tr>
        <w:trPr/>
        <w:tc>
          <w:tcPr>
            <w:tcW w:w="1160" w:type="dxa"/>
            <w:tcBorders/>
            <w:vAlign w:val="center"/>
          </w:tcPr>
          <w:p>
            <w:pPr>
              <w:pStyle w:val="TableContents"/>
              <w:bidi w:val="0"/>
              <w:spacing w:before="0" w:after="283"/>
              <w:ind w:left="0" w:right="0" w:hanging="0"/>
              <w:jc w:val="left"/>
              <w:rPr>
                <w:sz w:val="20"/>
              </w:rPr>
            </w:pPr>
            <w:r>
              <w:rPr>
                <w:sz w:val="20"/>
              </w:rPr>
              <w:t>Section 3.03.</w:t>
            </w:r>
          </w:p>
        </w:tc>
        <w:tc>
          <w:tcPr>
            <w:tcW w:w="458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Rule 144A Information.</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29</w:t>
            </w:r>
          </w:p>
        </w:tc>
      </w:tr>
      <w:tr>
        <w:trPr/>
        <w:tc>
          <w:tcPr>
            <w:tcW w:w="1160" w:type="dxa"/>
            <w:tcBorders/>
            <w:vAlign w:val="center"/>
          </w:tcPr>
          <w:p>
            <w:pPr>
              <w:pStyle w:val="TableContents"/>
              <w:bidi w:val="0"/>
              <w:spacing w:before="0" w:after="283"/>
              <w:ind w:left="0" w:right="0" w:hanging="0"/>
              <w:jc w:val="left"/>
              <w:rPr>
                <w:sz w:val="20"/>
              </w:rPr>
            </w:pPr>
            <w:r>
              <w:rPr>
                <w:sz w:val="20"/>
              </w:rPr>
              <w:t>Section 3.04.</w:t>
            </w:r>
          </w:p>
        </w:tc>
        <w:tc>
          <w:tcPr>
            <w:tcW w:w="458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Additional Interest.</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30</w:t>
            </w:r>
          </w:p>
        </w:tc>
      </w:tr>
      <w:tr>
        <w:trPr/>
        <w:tc>
          <w:tcPr>
            <w:tcW w:w="1160" w:type="dxa"/>
            <w:tcBorders/>
            <w:vAlign w:val="center"/>
          </w:tcPr>
          <w:p>
            <w:pPr>
              <w:pStyle w:val="TableContents"/>
              <w:bidi w:val="0"/>
              <w:spacing w:before="0" w:after="283"/>
              <w:ind w:left="0" w:right="0" w:hanging="0"/>
              <w:jc w:val="left"/>
              <w:rPr>
                <w:sz w:val="20"/>
              </w:rPr>
            </w:pPr>
            <w:r>
              <w:rPr>
                <w:sz w:val="20"/>
              </w:rPr>
              <w:t>Section 3.05.</w:t>
            </w:r>
          </w:p>
        </w:tc>
        <w:tc>
          <w:tcPr>
            <w:tcW w:w="458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Compliance and Default Certificates.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32</w:t>
            </w:r>
          </w:p>
        </w:tc>
      </w:tr>
      <w:tr>
        <w:trPr/>
        <w:tc>
          <w:tcPr>
            <w:tcW w:w="1160" w:type="dxa"/>
            <w:tcBorders/>
            <w:vAlign w:val="center"/>
          </w:tcPr>
          <w:p>
            <w:pPr>
              <w:pStyle w:val="TableContents"/>
              <w:bidi w:val="0"/>
              <w:spacing w:before="0" w:after="283"/>
              <w:ind w:left="0" w:right="0" w:hanging="0"/>
              <w:jc w:val="left"/>
              <w:rPr>
                <w:sz w:val="20"/>
              </w:rPr>
            </w:pPr>
            <w:r>
              <w:rPr>
                <w:sz w:val="20"/>
              </w:rPr>
              <w:t>Section 3.06.</w:t>
            </w:r>
          </w:p>
        </w:tc>
        <w:tc>
          <w:tcPr>
            <w:tcW w:w="458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Stay, Extension and Usury Laws.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32</w:t>
            </w:r>
          </w:p>
        </w:tc>
      </w:tr>
      <w:tr>
        <w:trPr/>
        <w:tc>
          <w:tcPr>
            <w:tcW w:w="1160" w:type="dxa"/>
            <w:tcBorders/>
            <w:vAlign w:val="center"/>
          </w:tcPr>
          <w:p>
            <w:pPr>
              <w:pStyle w:val="TableContents"/>
              <w:bidi w:val="0"/>
              <w:spacing w:before="0" w:after="283"/>
              <w:ind w:left="0" w:right="0" w:hanging="0"/>
              <w:jc w:val="left"/>
              <w:rPr>
                <w:sz w:val="20"/>
              </w:rPr>
            </w:pPr>
            <w:r>
              <w:rPr>
                <w:sz w:val="20"/>
              </w:rPr>
              <w:t>Section 3.07.</w:t>
            </w:r>
          </w:p>
        </w:tc>
        <w:tc>
          <w:tcPr>
            <w:tcW w:w="458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Acquisition of Notes by the Company and its Affiliates.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32</w:t>
            </w:r>
          </w:p>
        </w:tc>
      </w:tr>
      <w:tr>
        <w:trPr/>
        <w:tc>
          <w:tcPr>
            <w:tcW w:w="1160" w:type="dxa"/>
            <w:tcBorders/>
            <w:vAlign w:val="center"/>
          </w:tcPr>
          <w:p>
            <w:pPr>
              <w:pStyle w:val="TableContents"/>
              <w:bidi w:val="0"/>
              <w:spacing w:before="0" w:after="283"/>
              <w:ind w:left="0" w:right="0" w:hanging="0"/>
              <w:jc w:val="left"/>
              <w:rPr>
                <w:sz w:val="20"/>
              </w:rPr>
            </w:pPr>
            <w:r>
              <w:rPr>
                <w:sz w:val="20"/>
              </w:rPr>
              <w:t>Section 3.08.</w:t>
            </w:r>
          </w:p>
        </w:tc>
        <w:tc>
          <w:tcPr>
            <w:tcW w:w="458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Existence.</w:t>
            </w:r>
          </w:p>
        </w:tc>
        <w:tc>
          <w:tcPr>
            <w:tcW w:w="305"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33</w:t>
            </w:r>
          </w:p>
        </w:tc>
      </w:tr>
    </w:tbl>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1080" w:right="0" w:hanging="1080"/>
        <w:jc w:val="left"/>
        <w:rPr>
          <w:caps w:val="false"/>
          <w:smallCaps w:val="false"/>
        </w:rPr>
      </w:pPr>
      <w:r>
        <w:rPr>
          <w:caps w:val="false"/>
          <w:smallCaps w:val="false"/>
        </w:rPr>
        <w:t> </w:t>
      </w:r>
    </w:p>
    <w:tbl>
      <w:tblPr>
        <w:tblW w:w="3570" w:type="dxa"/>
        <w:jc w:val="left"/>
        <w:tblInd w:w="0" w:type="dxa"/>
        <w:tblLayout w:type="fixed"/>
        <w:tblCellMar>
          <w:top w:w="30" w:type="dxa"/>
          <w:left w:w="30" w:type="dxa"/>
          <w:bottom w:w="30" w:type="dxa"/>
          <w:right w:w="30" w:type="dxa"/>
        </w:tblCellMar>
      </w:tblPr>
      <w:tblGrid>
        <w:gridCol w:w="845"/>
        <w:gridCol w:w="2420"/>
        <w:gridCol w:w="305"/>
      </w:tblGrid>
      <w:tr>
        <w:trPr/>
        <w:tc>
          <w:tcPr>
            <w:tcW w:w="845" w:type="dxa"/>
            <w:tcBorders/>
            <w:vAlign w:val="center"/>
          </w:tcPr>
          <w:p>
            <w:pPr>
              <w:pStyle w:val="TableContents"/>
              <w:bidi w:val="0"/>
              <w:spacing w:before="0" w:after="283"/>
              <w:ind w:left="0" w:right="0" w:hanging="0"/>
              <w:jc w:val="left"/>
              <w:rPr>
                <w:sz w:val="20"/>
              </w:rPr>
            </w:pPr>
            <w:r>
              <w:rPr>
                <w:sz w:val="20"/>
              </w:rPr>
              <w:t>Article 4.</w:t>
            </w:r>
          </w:p>
        </w:tc>
        <w:tc>
          <w:tcPr>
            <w:tcW w:w="2420" w:type="dxa"/>
            <w:tcBorders/>
            <w:vAlign w:val="center"/>
          </w:tcPr>
          <w:p>
            <w:pPr>
              <w:pStyle w:val="TableContents"/>
              <w:bidi w:val="0"/>
              <w:spacing w:before="0" w:after="283"/>
              <w:ind w:left="0" w:right="0" w:hanging="0"/>
              <w:jc w:val="left"/>
              <w:rPr>
                <w:sz w:val="20"/>
              </w:rPr>
            </w:pPr>
            <w:r>
              <w:rPr>
                <w:sz w:val="20"/>
              </w:rPr>
              <w:t>Repurchase and Redemption</w:t>
            </w:r>
          </w:p>
        </w:tc>
        <w:tc>
          <w:tcPr>
            <w:tcW w:w="305" w:type="dxa"/>
            <w:tcBorders/>
            <w:vAlign w:val="center"/>
          </w:tcPr>
          <w:p>
            <w:pPr>
              <w:pStyle w:val="TableContents"/>
              <w:bidi w:val="0"/>
              <w:spacing w:before="0" w:after="283"/>
              <w:jc w:val="right"/>
              <w:rPr>
                <w:sz w:val="20"/>
              </w:rPr>
            </w:pPr>
            <w:r>
              <w:rPr>
                <w:sz w:val="20"/>
              </w:rPr>
              <w:t>33</w:t>
            </w:r>
          </w:p>
        </w:tc>
      </w:tr>
    </w:tbl>
    <w:p>
      <w:pPr>
        <w:pStyle w:val="TextBody"/>
        <w:bidi w:val="0"/>
        <w:spacing w:before="0" w:after="0"/>
        <w:ind w:left="1080" w:right="0" w:hanging="108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1160"/>
        <w:gridCol w:w="1520"/>
        <w:gridCol w:w="305"/>
      </w:tblGrid>
      <w:tr>
        <w:trPr/>
        <w:tc>
          <w:tcPr>
            <w:tcW w:w="1160" w:type="dxa"/>
            <w:tcBorders/>
            <w:vAlign w:val="center"/>
          </w:tcPr>
          <w:p>
            <w:pPr>
              <w:pStyle w:val="TableContents"/>
              <w:bidi w:val="0"/>
              <w:spacing w:before="0" w:after="283"/>
              <w:ind w:left="0" w:right="0" w:hanging="0"/>
              <w:jc w:val="left"/>
              <w:rPr>
                <w:sz w:val="20"/>
              </w:rPr>
            </w:pPr>
            <w:r>
              <w:rPr>
                <w:sz w:val="20"/>
              </w:rPr>
              <w:t>Section 4.01.</w:t>
            </w:r>
          </w:p>
        </w:tc>
        <w:tc>
          <w:tcPr>
            <w:tcW w:w="152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No Sinking Fund.</w:t>
            </w:r>
          </w:p>
        </w:tc>
        <w:tc>
          <w:tcPr>
            <w:tcW w:w="305"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33</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i -</w:t>
      </w:r>
    </w:p>
    <w:p>
      <w:pPr>
        <w:pStyle w:val="TextBody"/>
        <w:bidi w:val="0"/>
        <w:spacing w:before="0" w:after="0"/>
        <w:ind w:left="0" w:right="0" w:hanging="0"/>
        <w:jc w:val="left"/>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1160"/>
        <w:gridCol w:w="7640"/>
        <w:gridCol w:w="305"/>
      </w:tblGrid>
      <w:tr>
        <w:trPr/>
        <w:tc>
          <w:tcPr>
            <w:tcW w:w="1160" w:type="dxa"/>
            <w:tcBorders/>
            <w:vAlign w:val="center"/>
          </w:tcPr>
          <w:p>
            <w:pPr>
              <w:pStyle w:val="TableContents"/>
              <w:bidi w:val="0"/>
              <w:spacing w:before="0" w:after="283"/>
              <w:ind w:left="0" w:right="0" w:hanging="0"/>
              <w:jc w:val="left"/>
              <w:rPr>
                <w:sz w:val="20"/>
              </w:rPr>
            </w:pPr>
            <w:r>
              <w:rPr>
                <w:sz w:val="20"/>
              </w:rPr>
              <w:t>Section 4.02.</w:t>
            </w:r>
          </w:p>
        </w:tc>
        <w:tc>
          <w:tcPr>
            <w:tcW w:w="764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Right of Holders to Require the Company to Repurchase Notes Upon a Fundamental Change.</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33</w:t>
            </w:r>
          </w:p>
        </w:tc>
      </w:tr>
      <w:tr>
        <w:trPr/>
        <w:tc>
          <w:tcPr>
            <w:tcW w:w="1160" w:type="dxa"/>
            <w:tcBorders/>
            <w:vAlign w:val="center"/>
          </w:tcPr>
          <w:p>
            <w:pPr>
              <w:pStyle w:val="TableContents"/>
              <w:bidi w:val="0"/>
              <w:spacing w:before="0" w:after="283"/>
              <w:ind w:left="0" w:right="0" w:hanging="0"/>
              <w:jc w:val="left"/>
              <w:rPr>
                <w:sz w:val="20"/>
              </w:rPr>
            </w:pPr>
            <w:r>
              <w:rPr>
                <w:sz w:val="20"/>
              </w:rPr>
              <w:t>Section 4.03.</w:t>
            </w:r>
          </w:p>
        </w:tc>
        <w:tc>
          <w:tcPr>
            <w:tcW w:w="764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Right of the Company to Redeem the Notes.</w:t>
            </w:r>
          </w:p>
        </w:tc>
        <w:tc>
          <w:tcPr>
            <w:tcW w:w="305"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38</w:t>
            </w:r>
          </w:p>
        </w:tc>
      </w:tr>
    </w:tbl>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1080" w:right="0" w:hanging="1080"/>
        <w:jc w:val="left"/>
        <w:rPr>
          <w:caps w:val="false"/>
          <w:smallCaps w:val="false"/>
        </w:rPr>
      </w:pPr>
      <w:r>
        <w:rPr>
          <w:caps w:val="false"/>
          <w:smallCaps w:val="false"/>
        </w:rPr>
        <w:t> </w:t>
      </w:r>
    </w:p>
    <w:tbl>
      <w:tblPr>
        <w:tblW w:w="3255" w:type="dxa"/>
        <w:jc w:val="left"/>
        <w:tblInd w:w="0" w:type="dxa"/>
        <w:tblLayout w:type="fixed"/>
        <w:tblCellMar>
          <w:top w:w="30" w:type="dxa"/>
          <w:left w:w="30" w:type="dxa"/>
          <w:bottom w:w="30" w:type="dxa"/>
          <w:right w:w="30" w:type="dxa"/>
        </w:tblCellMar>
      </w:tblPr>
      <w:tblGrid>
        <w:gridCol w:w="845"/>
        <w:gridCol w:w="2105"/>
        <w:gridCol w:w="305"/>
      </w:tblGrid>
      <w:tr>
        <w:trPr/>
        <w:tc>
          <w:tcPr>
            <w:tcW w:w="845" w:type="dxa"/>
            <w:tcBorders/>
            <w:vAlign w:val="center"/>
          </w:tcPr>
          <w:p>
            <w:pPr>
              <w:pStyle w:val="TableContents"/>
              <w:bidi w:val="0"/>
              <w:spacing w:before="0" w:after="283"/>
              <w:ind w:left="0" w:right="0" w:hanging="0"/>
              <w:jc w:val="left"/>
              <w:rPr>
                <w:sz w:val="20"/>
              </w:rPr>
            </w:pPr>
            <w:r>
              <w:rPr>
                <w:sz w:val="20"/>
              </w:rPr>
              <w:t>Article 5.</w:t>
            </w:r>
          </w:p>
        </w:tc>
        <w:tc>
          <w:tcPr>
            <w:tcW w:w="2105" w:type="dxa"/>
            <w:tcBorders/>
            <w:vAlign w:val="center"/>
          </w:tcPr>
          <w:p>
            <w:pPr>
              <w:pStyle w:val="TableContents"/>
              <w:bidi w:val="0"/>
              <w:spacing w:before="0" w:after="283"/>
              <w:ind w:left="0" w:right="0" w:hanging="0"/>
              <w:jc w:val="left"/>
              <w:rPr>
                <w:sz w:val="20"/>
              </w:rPr>
            </w:pPr>
            <w:r>
              <w:rPr>
                <w:sz w:val="20"/>
              </w:rPr>
              <w:t>The Conversion of Notes</w:t>
            </w:r>
          </w:p>
        </w:tc>
        <w:tc>
          <w:tcPr>
            <w:tcW w:w="305" w:type="dxa"/>
            <w:tcBorders/>
            <w:vAlign w:val="center"/>
          </w:tcPr>
          <w:p>
            <w:pPr>
              <w:pStyle w:val="TableContents"/>
              <w:bidi w:val="0"/>
              <w:spacing w:before="0" w:after="283"/>
              <w:jc w:val="right"/>
              <w:rPr>
                <w:sz w:val="20"/>
              </w:rPr>
            </w:pPr>
            <w:r>
              <w:rPr>
                <w:sz w:val="20"/>
              </w:rPr>
              <w:t>40</w:t>
            </w:r>
          </w:p>
        </w:tc>
      </w:tr>
    </w:tbl>
    <w:p>
      <w:pPr>
        <w:pStyle w:val="TextBody"/>
        <w:bidi w:val="0"/>
        <w:spacing w:before="0" w:after="0"/>
        <w:ind w:left="1080" w:right="0" w:hanging="1080"/>
        <w:jc w:val="left"/>
        <w:rPr>
          <w:caps w:val="false"/>
          <w:smallCaps w:val="false"/>
        </w:rPr>
      </w:pPr>
      <w:r>
        <w:rPr>
          <w:caps w:val="false"/>
          <w:smallCaps w:val="false"/>
        </w:rPr>
        <w:t> </w:t>
      </w:r>
    </w:p>
    <w:tbl>
      <w:tblPr>
        <w:tblW w:w="9180" w:type="dxa"/>
        <w:jc w:val="left"/>
        <w:tblInd w:w="0" w:type="dxa"/>
        <w:tblLayout w:type="fixed"/>
        <w:tblCellMar>
          <w:top w:w="0" w:type="dxa"/>
          <w:left w:w="0" w:type="dxa"/>
          <w:bottom w:w="0" w:type="dxa"/>
          <w:right w:w="0" w:type="dxa"/>
        </w:tblCellMar>
      </w:tblPr>
      <w:tblGrid>
        <w:gridCol w:w="1160"/>
        <w:gridCol w:w="7715"/>
        <w:gridCol w:w="305"/>
      </w:tblGrid>
      <w:tr>
        <w:trPr/>
        <w:tc>
          <w:tcPr>
            <w:tcW w:w="1160" w:type="dxa"/>
            <w:tcBorders/>
            <w:vAlign w:val="center"/>
          </w:tcPr>
          <w:p>
            <w:pPr>
              <w:pStyle w:val="TableContents"/>
              <w:bidi w:val="0"/>
              <w:spacing w:before="0" w:after="283"/>
              <w:ind w:left="0" w:right="0" w:hanging="0"/>
              <w:jc w:val="left"/>
              <w:rPr>
                <w:sz w:val="20"/>
              </w:rPr>
            </w:pPr>
            <w:r>
              <w:rPr>
                <w:sz w:val="20"/>
              </w:rPr>
              <w:t>Section 5.01.</w:t>
            </w:r>
          </w:p>
        </w:tc>
        <w:tc>
          <w:tcPr>
            <w:tcW w:w="771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Right to Convert.</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40</w:t>
            </w:r>
          </w:p>
        </w:tc>
      </w:tr>
      <w:tr>
        <w:trPr/>
        <w:tc>
          <w:tcPr>
            <w:tcW w:w="1160" w:type="dxa"/>
            <w:tcBorders/>
            <w:vAlign w:val="center"/>
          </w:tcPr>
          <w:p>
            <w:pPr>
              <w:pStyle w:val="TableContents"/>
              <w:bidi w:val="0"/>
              <w:spacing w:before="0" w:after="283"/>
              <w:ind w:left="0" w:right="0" w:hanging="0"/>
              <w:jc w:val="left"/>
              <w:rPr>
                <w:sz w:val="20"/>
              </w:rPr>
            </w:pPr>
            <w:r>
              <w:rPr>
                <w:sz w:val="20"/>
              </w:rPr>
              <w:t>Section 5.02.</w:t>
            </w:r>
          </w:p>
        </w:tc>
        <w:tc>
          <w:tcPr>
            <w:tcW w:w="771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Conversion Procedures.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44</w:t>
            </w:r>
          </w:p>
        </w:tc>
      </w:tr>
      <w:tr>
        <w:trPr/>
        <w:tc>
          <w:tcPr>
            <w:tcW w:w="1160" w:type="dxa"/>
            <w:tcBorders/>
            <w:vAlign w:val="center"/>
          </w:tcPr>
          <w:p>
            <w:pPr>
              <w:pStyle w:val="TableContents"/>
              <w:bidi w:val="0"/>
              <w:spacing w:before="0" w:after="283"/>
              <w:ind w:left="0" w:right="0" w:hanging="0"/>
              <w:jc w:val="left"/>
              <w:rPr>
                <w:sz w:val="20"/>
              </w:rPr>
            </w:pPr>
            <w:r>
              <w:rPr>
                <w:sz w:val="20"/>
              </w:rPr>
              <w:t>Section 5.03.</w:t>
            </w:r>
          </w:p>
        </w:tc>
        <w:tc>
          <w:tcPr>
            <w:tcW w:w="771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Settlement Upon Conversion.</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46</w:t>
            </w:r>
          </w:p>
        </w:tc>
      </w:tr>
      <w:tr>
        <w:trPr/>
        <w:tc>
          <w:tcPr>
            <w:tcW w:w="1160" w:type="dxa"/>
            <w:tcBorders/>
            <w:vAlign w:val="center"/>
          </w:tcPr>
          <w:p>
            <w:pPr>
              <w:pStyle w:val="TableContents"/>
              <w:bidi w:val="0"/>
              <w:spacing w:before="0" w:after="283"/>
              <w:ind w:left="0" w:right="0" w:hanging="0"/>
              <w:jc w:val="left"/>
              <w:rPr>
                <w:sz w:val="20"/>
              </w:rPr>
            </w:pPr>
            <w:r>
              <w:rPr>
                <w:sz w:val="20"/>
              </w:rPr>
              <w:t>Section 5.04.</w:t>
            </w:r>
          </w:p>
        </w:tc>
        <w:tc>
          <w:tcPr>
            <w:tcW w:w="771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Reserve and Status of Common Stock Issued Upon Conversion.</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49</w:t>
            </w:r>
          </w:p>
        </w:tc>
      </w:tr>
      <w:tr>
        <w:trPr/>
        <w:tc>
          <w:tcPr>
            <w:tcW w:w="1160" w:type="dxa"/>
            <w:tcBorders/>
            <w:vAlign w:val="center"/>
          </w:tcPr>
          <w:p>
            <w:pPr>
              <w:pStyle w:val="TableContents"/>
              <w:bidi w:val="0"/>
              <w:spacing w:before="0" w:after="283"/>
              <w:ind w:left="0" w:right="0" w:hanging="0"/>
              <w:jc w:val="left"/>
              <w:rPr>
                <w:sz w:val="20"/>
              </w:rPr>
            </w:pPr>
            <w:r>
              <w:rPr>
                <w:sz w:val="20"/>
              </w:rPr>
              <w:t>Section 5.05.</w:t>
            </w:r>
          </w:p>
        </w:tc>
        <w:tc>
          <w:tcPr>
            <w:tcW w:w="771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Adjustments to the Conversion Rate.</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49</w:t>
            </w:r>
          </w:p>
        </w:tc>
      </w:tr>
      <w:tr>
        <w:trPr/>
        <w:tc>
          <w:tcPr>
            <w:tcW w:w="1160" w:type="dxa"/>
            <w:tcBorders/>
            <w:vAlign w:val="center"/>
          </w:tcPr>
          <w:p>
            <w:pPr>
              <w:pStyle w:val="TableContents"/>
              <w:bidi w:val="0"/>
              <w:spacing w:before="0" w:after="283"/>
              <w:ind w:left="0" w:right="0" w:hanging="0"/>
              <w:jc w:val="left"/>
              <w:rPr>
                <w:sz w:val="20"/>
              </w:rPr>
            </w:pPr>
            <w:r>
              <w:rPr>
                <w:sz w:val="20"/>
              </w:rPr>
              <w:t>Section 5.06.</w:t>
            </w:r>
          </w:p>
        </w:tc>
        <w:tc>
          <w:tcPr>
            <w:tcW w:w="771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Voluntary Adjustments.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59</w:t>
            </w:r>
          </w:p>
        </w:tc>
      </w:tr>
      <w:tr>
        <w:trPr/>
        <w:tc>
          <w:tcPr>
            <w:tcW w:w="1160" w:type="dxa"/>
            <w:tcBorders/>
            <w:vAlign w:val="center"/>
          </w:tcPr>
          <w:p>
            <w:pPr>
              <w:pStyle w:val="TableContents"/>
              <w:bidi w:val="0"/>
              <w:spacing w:before="0" w:after="283"/>
              <w:ind w:left="0" w:right="0" w:hanging="0"/>
              <w:jc w:val="left"/>
              <w:rPr>
                <w:sz w:val="20"/>
              </w:rPr>
            </w:pPr>
            <w:r>
              <w:rPr>
                <w:sz w:val="20"/>
              </w:rPr>
              <w:t>Section 5.07.</w:t>
            </w:r>
          </w:p>
        </w:tc>
        <w:tc>
          <w:tcPr>
            <w:tcW w:w="771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Adjustments to the Conversion Rate in Connection with a Make-Whole Fundamental Change.</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59</w:t>
            </w:r>
          </w:p>
        </w:tc>
      </w:tr>
      <w:tr>
        <w:trPr/>
        <w:tc>
          <w:tcPr>
            <w:tcW w:w="1160" w:type="dxa"/>
            <w:tcBorders/>
            <w:vAlign w:val="center"/>
          </w:tcPr>
          <w:p>
            <w:pPr>
              <w:pStyle w:val="TableContents"/>
              <w:bidi w:val="0"/>
              <w:spacing w:before="0" w:after="283"/>
              <w:ind w:left="0" w:right="0" w:hanging="0"/>
              <w:jc w:val="left"/>
              <w:rPr>
                <w:sz w:val="20"/>
              </w:rPr>
            </w:pPr>
            <w:r>
              <w:rPr>
                <w:sz w:val="20"/>
              </w:rPr>
              <w:t>Section 5.08.</w:t>
            </w:r>
          </w:p>
        </w:tc>
        <w:tc>
          <w:tcPr>
            <w:tcW w:w="771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Exchange in Lieu of Conversion.</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61</w:t>
            </w:r>
          </w:p>
        </w:tc>
      </w:tr>
      <w:tr>
        <w:trPr/>
        <w:tc>
          <w:tcPr>
            <w:tcW w:w="1160" w:type="dxa"/>
            <w:tcBorders/>
            <w:vAlign w:val="center"/>
          </w:tcPr>
          <w:p>
            <w:pPr>
              <w:pStyle w:val="TableContents"/>
              <w:bidi w:val="0"/>
              <w:spacing w:before="0" w:after="283"/>
              <w:ind w:left="0" w:right="0" w:hanging="0"/>
              <w:jc w:val="left"/>
              <w:rPr>
                <w:sz w:val="20"/>
              </w:rPr>
            </w:pPr>
            <w:r>
              <w:rPr>
                <w:sz w:val="20"/>
              </w:rPr>
              <w:t>Section 5.09.</w:t>
            </w:r>
          </w:p>
        </w:tc>
        <w:tc>
          <w:tcPr>
            <w:tcW w:w="771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Effect of Common Stock Change Event.</w:t>
            </w:r>
          </w:p>
        </w:tc>
        <w:tc>
          <w:tcPr>
            <w:tcW w:w="305"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61</w:t>
            </w:r>
          </w:p>
        </w:tc>
      </w:tr>
    </w:tbl>
    <w:p>
      <w:pPr>
        <w:pStyle w:val="TextBody"/>
        <w:bidi w:val="0"/>
        <w:spacing w:before="0" w:after="0"/>
        <w:ind w:left="1080" w:right="0" w:hanging="1080"/>
        <w:jc w:val="left"/>
        <w:rPr>
          <w:caps w:val="false"/>
          <w:smallCaps w:val="false"/>
        </w:rPr>
      </w:pPr>
      <w:r>
        <w:rPr>
          <w:caps w:val="false"/>
          <w:smallCaps w:val="false"/>
        </w:rPr>
        <w:t> </w:t>
      </w:r>
    </w:p>
    <w:tbl>
      <w:tblPr>
        <w:tblW w:w="2100" w:type="dxa"/>
        <w:jc w:val="left"/>
        <w:tblInd w:w="0" w:type="dxa"/>
        <w:tblLayout w:type="fixed"/>
        <w:tblCellMar>
          <w:top w:w="30" w:type="dxa"/>
          <w:left w:w="30" w:type="dxa"/>
          <w:bottom w:w="30" w:type="dxa"/>
          <w:right w:w="30" w:type="dxa"/>
        </w:tblCellMar>
      </w:tblPr>
      <w:tblGrid>
        <w:gridCol w:w="845"/>
        <w:gridCol w:w="950"/>
        <w:gridCol w:w="305"/>
      </w:tblGrid>
      <w:tr>
        <w:trPr/>
        <w:tc>
          <w:tcPr>
            <w:tcW w:w="845" w:type="dxa"/>
            <w:tcBorders/>
            <w:vAlign w:val="center"/>
          </w:tcPr>
          <w:p>
            <w:pPr>
              <w:pStyle w:val="TableContents"/>
              <w:bidi w:val="0"/>
              <w:spacing w:before="0" w:after="283"/>
              <w:ind w:left="0" w:right="0" w:hanging="0"/>
              <w:jc w:val="left"/>
              <w:rPr>
                <w:sz w:val="20"/>
              </w:rPr>
            </w:pPr>
            <w:r>
              <w:rPr>
                <w:sz w:val="20"/>
              </w:rPr>
              <w:t>Article 6.</w:t>
            </w:r>
          </w:p>
        </w:tc>
        <w:tc>
          <w:tcPr>
            <w:tcW w:w="950" w:type="dxa"/>
            <w:tcBorders/>
            <w:vAlign w:val="center"/>
          </w:tcPr>
          <w:p>
            <w:pPr>
              <w:pStyle w:val="TableContents"/>
              <w:bidi w:val="0"/>
              <w:spacing w:before="0" w:after="283"/>
              <w:ind w:left="0" w:right="0" w:hanging="0"/>
              <w:jc w:val="left"/>
              <w:rPr>
                <w:sz w:val="20"/>
              </w:rPr>
            </w:pPr>
            <w:r>
              <w:rPr>
                <w:sz w:val="20"/>
              </w:rPr>
              <w:t>Successors</w:t>
            </w:r>
          </w:p>
        </w:tc>
        <w:tc>
          <w:tcPr>
            <w:tcW w:w="305" w:type="dxa"/>
            <w:tcBorders/>
            <w:vAlign w:val="center"/>
          </w:tcPr>
          <w:p>
            <w:pPr>
              <w:pStyle w:val="TableContents"/>
              <w:bidi w:val="0"/>
              <w:spacing w:before="0" w:after="283"/>
              <w:jc w:val="right"/>
              <w:rPr>
                <w:sz w:val="20"/>
              </w:rPr>
            </w:pPr>
            <w:r>
              <w:rPr>
                <w:sz w:val="20"/>
              </w:rPr>
              <w:t>63</w:t>
            </w:r>
          </w:p>
        </w:tc>
      </w:tr>
    </w:tbl>
    <w:p>
      <w:pPr>
        <w:pStyle w:val="TextBody"/>
        <w:bidi w:val="0"/>
        <w:spacing w:before="0" w:after="0"/>
        <w:ind w:left="1080" w:right="0" w:hanging="1080"/>
        <w:jc w:val="left"/>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1160"/>
        <w:gridCol w:w="5195"/>
        <w:gridCol w:w="305"/>
      </w:tblGrid>
      <w:tr>
        <w:trPr/>
        <w:tc>
          <w:tcPr>
            <w:tcW w:w="1160" w:type="dxa"/>
            <w:tcBorders/>
            <w:vAlign w:val="center"/>
          </w:tcPr>
          <w:p>
            <w:pPr>
              <w:pStyle w:val="TableContents"/>
              <w:bidi w:val="0"/>
              <w:spacing w:before="0" w:after="283"/>
              <w:ind w:left="0" w:right="0" w:hanging="0"/>
              <w:jc w:val="left"/>
              <w:rPr>
                <w:sz w:val="20"/>
              </w:rPr>
            </w:pPr>
            <w:r>
              <w:rPr>
                <w:sz w:val="20"/>
              </w:rPr>
              <w:t>Section 6.01.</w:t>
            </w:r>
          </w:p>
        </w:tc>
        <w:tc>
          <w:tcPr>
            <w:tcW w:w="519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When the Company May Merge, Etc.</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63</w:t>
            </w:r>
          </w:p>
        </w:tc>
      </w:tr>
      <w:tr>
        <w:trPr/>
        <w:tc>
          <w:tcPr>
            <w:tcW w:w="1160" w:type="dxa"/>
            <w:tcBorders/>
            <w:vAlign w:val="center"/>
          </w:tcPr>
          <w:p>
            <w:pPr>
              <w:pStyle w:val="TableContents"/>
              <w:bidi w:val="0"/>
              <w:spacing w:before="0" w:after="283"/>
              <w:ind w:left="0" w:right="0" w:hanging="0"/>
              <w:jc w:val="left"/>
              <w:rPr>
                <w:sz w:val="20"/>
              </w:rPr>
            </w:pPr>
            <w:r>
              <w:rPr>
                <w:sz w:val="20"/>
              </w:rPr>
              <w:t>Section 6.02.</w:t>
            </w:r>
          </w:p>
        </w:tc>
        <w:tc>
          <w:tcPr>
            <w:tcW w:w="519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Successor Entity Substituted.</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64</w:t>
            </w:r>
          </w:p>
        </w:tc>
      </w:tr>
      <w:tr>
        <w:trPr/>
        <w:tc>
          <w:tcPr>
            <w:tcW w:w="1160" w:type="dxa"/>
            <w:tcBorders/>
            <w:vAlign w:val="center"/>
          </w:tcPr>
          <w:p>
            <w:pPr>
              <w:pStyle w:val="TableContents"/>
              <w:bidi w:val="0"/>
              <w:spacing w:before="0" w:after="283"/>
              <w:ind w:left="0" w:right="0" w:hanging="0"/>
              <w:jc w:val="left"/>
              <w:rPr>
                <w:sz w:val="20"/>
              </w:rPr>
            </w:pPr>
            <w:r>
              <w:rPr>
                <w:sz w:val="20"/>
              </w:rPr>
              <w:t>Section 6.03.</w:t>
            </w:r>
          </w:p>
        </w:tc>
        <w:tc>
          <w:tcPr>
            <w:tcW w:w="519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Exclusion for Asset Transfers with Wholly Owned Subsidiaries.</w:t>
            </w:r>
          </w:p>
        </w:tc>
        <w:tc>
          <w:tcPr>
            <w:tcW w:w="305"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64</w:t>
            </w:r>
          </w:p>
        </w:tc>
      </w:tr>
    </w:tbl>
    <w:p>
      <w:pPr>
        <w:pStyle w:val="TextBody"/>
        <w:bidi w:val="0"/>
        <w:spacing w:before="0" w:after="0"/>
        <w:ind w:left="1080" w:right="0" w:hanging="1080"/>
        <w:jc w:val="left"/>
        <w:rPr>
          <w:caps w:val="false"/>
          <w:smallCaps w:val="false"/>
        </w:rPr>
      </w:pPr>
      <w:r>
        <w:rPr>
          <w:caps w:val="false"/>
          <w:smallCaps w:val="false"/>
        </w:rPr>
        <w:t> </w:t>
      </w:r>
    </w:p>
    <w:tbl>
      <w:tblPr>
        <w:tblW w:w="3090" w:type="dxa"/>
        <w:jc w:val="left"/>
        <w:tblInd w:w="0" w:type="dxa"/>
        <w:tblLayout w:type="fixed"/>
        <w:tblCellMar>
          <w:top w:w="30" w:type="dxa"/>
          <w:left w:w="30" w:type="dxa"/>
          <w:bottom w:w="30" w:type="dxa"/>
          <w:right w:w="30" w:type="dxa"/>
        </w:tblCellMar>
      </w:tblPr>
      <w:tblGrid>
        <w:gridCol w:w="845"/>
        <w:gridCol w:w="1940"/>
        <w:gridCol w:w="305"/>
      </w:tblGrid>
      <w:tr>
        <w:trPr/>
        <w:tc>
          <w:tcPr>
            <w:tcW w:w="845" w:type="dxa"/>
            <w:tcBorders/>
            <w:vAlign w:val="center"/>
          </w:tcPr>
          <w:p>
            <w:pPr>
              <w:pStyle w:val="TableContents"/>
              <w:bidi w:val="0"/>
              <w:spacing w:before="0" w:after="283"/>
              <w:ind w:left="0" w:right="0" w:hanging="0"/>
              <w:jc w:val="left"/>
              <w:rPr>
                <w:sz w:val="20"/>
              </w:rPr>
            </w:pPr>
            <w:r>
              <w:rPr>
                <w:sz w:val="20"/>
              </w:rPr>
              <w:t>Article 7.</w:t>
            </w:r>
          </w:p>
        </w:tc>
        <w:tc>
          <w:tcPr>
            <w:tcW w:w="1940" w:type="dxa"/>
            <w:tcBorders/>
            <w:vAlign w:val="center"/>
          </w:tcPr>
          <w:p>
            <w:pPr>
              <w:pStyle w:val="TableContents"/>
              <w:bidi w:val="0"/>
              <w:spacing w:before="0" w:after="283"/>
              <w:ind w:left="0" w:right="0" w:hanging="0"/>
              <w:jc w:val="left"/>
              <w:rPr>
                <w:sz w:val="20"/>
              </w:rPr>
            </w:pPr>
            <w:r>
              <w:rPr>
                <w:sz w:val="20"/>
              </w:rPr>
              <w:t>Defaults and Remedies</w:t>
            </w:r>
          </w:p>
        </w:tc>
        <w:tc>
          <w:tcPr>
            <w:tcW w:w="305" w:type="dxa"/>
            <w:tcBorders/>
            <w:vAlign w:val="center"/>
          </w:tcPr>
          <w:p>
            <w:pPr>
              <w:pStyle w:val="TableContents"/>
              <w:bidi w:val="0"/>
              <w:spacing w:before="0" w:after="283"/>
              <w:jc w:val="right"/>
              <w:rPr>
                <w:sz w:val="20"/>
              </w:rPr>
            </w:pPr>
            <w:r>
              <w:rPr>
                <w:sz w:val="20"/>
              </w:rPr>
              <w:t>64</w:t>
            </w:r>
          </w:p>
        </w:tc>
      </w:tr>
    </w:tbl>
    <w:p>
      <w:pPr>
        <w:pStyle w:val="TextBody"/>
        <w:bidi w:val="0"/>
        <w:spacing w:before="0" w:after="0"/>
        <w:ind w:left="1080" w:right="0" w:hanging="10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0"/>
        <w:gridCol w:w="8819"/>
        <w:gridCol w:w="306"/>
      </w:tblGrid>
      <w:tr>
        <w:trPr/>
        <w:tc>
          <w:tcPr>
            <w:tcW w:w="1080" w:type="dxa"/>
            <w:tcBorders/>
            <w:vAlign w:val="center"/>
          </w:tcPr>
          <w:p>
            <w:pPr>
              <w:pStyle w:val="TableContents"/>
              <w:bidi w:val="0"/>
              <w:spacing w:before="0" w:after="283"/>
              <w:ind w:left="0" w:right="0" w:hanging="0"/>
              <w:jc w:val="left"/>
              <w:rPr>
                <w:sz w:val="20"/>
              </w:rPr>
            </w:pPr>
            <w:r>
              <w:rPr>
                <w:sz w:val="20"/>
              </w:rPr>
              <w:t>Section 7.01.</w:t>
            </w:r>
          </w:p>
        </w:tc>
        <w:tc>
          <w:tcPr>
            <w:tcW w:w="881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Events of Default.</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64</w:t>
            </w:r>
          </w:p>
        </w:tc>
      </w:tr>
      <w:tr>
        <w:trPr/>
        <w:tc>
          <w:tcPr>
            <w:tcW w:w="1080" w:type="dxa"/>
            <w:tcBorders/>
            <w:vAlign w:val="center"/>
          </w:tcPr>
          <w:p>
            <w:pPr>
              <w:pStyle w:val="TableContents"/>
              <w:bidi w:val="0"/>
              <w:spacing w:before="0" w:after="283"/>
              <w:ind w:left="0" w:right="0" w:hanging="0"/>
              <w:jc w:val="left"/>
              <w:rPr>
                <w:sz w:val="20"/>
              </w:rPr>
            </w:pPr>
            <w:r>
              <w:rPr>
                <w:sz w:val="20"/>
              </w:rPr>
              <w:t>Section 7.02.</w:t>
            </w:r>
          </w:p>
        </w:tc>
        <w:tc>
          <w:tcPr>
            <w:tcW w:w="881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Acceleration.</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66</w:t>
            </w:r>
          </w:p>
        </w:tc>
      </w:tr>
      <w:tr>
        <w:trPr/>
        <w:tc>
          <w:tcPr>
            <w:tcW w:w="1080" w:type="dxa"/>
            <w:tcBorders/>
            <w:vAlign w:val="center"/>
          </w:tcPr>
          <w:p>
            <w:pPr>
              <w:pStyle w:val="TableContents"/>
              <w:bidi w:val="0"/>
              <w:spacing w:before="0" w:after="283"/>
              <w:ind w:left="0" w:right="0" w:hanging="0"/>
              <w:jc w:val="left"/>
              <w:rPr>
                <w:sz w:val="20"/>
              </w:rPr>
            </w:pPr>
            <w:r>
              <w:rPr>
                <w:sz w:val="20"/>
              </w:rPr>
              <w:t>Section 7.03.</w:t>
            </w:r>
          </w:p>
        </w:tc>
        <w:tc>
          <w:tcPr>
            <w:tcW w:w="881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Sole Remedy for a Failure to Report.</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66</w:t>
            </w:r>
          </w:p>
        </w:tc>
      </w:tr>
      <w:tr>
        <w:trPr/>
        <w:tc>
          <w:tcPr>
            <w:tcW w:w="1080" w:type="dxa"/>
            <w:tcBorders/>
            <w:vAlign w:val="center"/>
          </w:tcPr>
          <w:p>
            <w:pPr>
              <w:pStyle w:val="TableContents"/>
              <w:bidi w:val="0"/>
              <w:spacing w:before="0" w:after="283"/>
              <w:ind w:left="0" w:right="0" w:hanging="0"/>
              <w:jc w:val="left"/>
              <w:rPr>
                <w:sz w:val="20"/>
              </w:rPr>
            </w:pPr>
            <w:r>
              <w:rPr>
                <w:sz w:val="20"/>
              </w:rPr>
              <w:t>Section 7.04.</w:t>
            </w:r>
          </w:p>
        </w:tc>
        <w:tc>
          <w:tcPr>
            <w:tcW w:w="881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Other Remedies.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68</w:t>
            </w:r>
          </w:p>
        </w:tc>
      </w:tr>
      <w:tr>
        <w:trPr/>
        <w:tc>
          <w:tcPr>
            <w:tcW w:w="1080" w:type="dxa"/>
            <w:tcBorders/>
            <w:vAlign w:val="center"/>
          </w:tcPr>
          <w:p>
            <w:pPr>
              <w:pStyle w:val="TableContents"/>
              <w:bidi w:val="0"/>
              <w:spacing w:before="0" w:after="283"/>
              <w:ind w:left="0" w:right="0" w:hanging="0"/>
              <w:jc w:val="left"/>
              <w:rPr>
                <w:sz w:val="20"/>
              </w:rPr>
            </w:pPr>
            <w:r>
              <w:rPr>
                <w:sz w:val="20"/>
              </w:rPr>
              <w:t>Section 7.05.</w:t>
            </w:r>
          </w:p>
        </w:tc>
        <w:tc>
          <w:tcPr>
            <w:tcW w:w="881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Waiver of Past Defaults.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68</w:t>
            </w:r>
          </w:p>
        </w:tc>
      </w:tr>
      <w:tr>
        <w:trPr/>
        <w:tc>
          <w:tcPr>
            <w:tcW w:w="1080" w:type="dxa"/>
            <w:tcBorders/>
            <w:vAlign w:val="center"/>
          </w:tcPr>
          <w:p>
            <w:pPr>
              <w:pStyle w:val="TableContents"/>
              <w:bidi w:val="0"/>
              <w:spacing w:before="0" w:after="283"/>
              <w:ind w:left="0" w:right="0" w:hanging="0"/>
              <w:jc w:val="left"/>
              <w:rPr>
                <w:sz w:val="20"/>
              </w:rPr>
            </w:pPr>
            <w:r>
              <w:rPr>
                <w:sz w:val="20"/>
              </w:rPr>
              <w:t>Section 7.06.</w:t>
            </w:r>
          </w:p>
        </w:tc>
        <w:tc>
          <w:tcPr>
            <w:tcW w:w="881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Control by Majority.</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68</w:t>
            </w:r>
          </w:p>
        </w:tc>
      </w:tr>
      <w:tr>
        <w:trPr/>
        <w:tc>
          <w:tcPr>
            <w:tcW w:w="1080" w:type="dxa"/>
            <w:tcBorders/>
            <w:vAlign w:val="center"/>
          </w:tcPr>
          <w:p>
            <w:pPr>
              <w:pStyle w:val="TableContents"/>
              <w:bidi w:val="0"/>
              <w:spacing w:before="0" w:after="283"/>
              <w:ind w:left="0" w:right="0" w:hanging="0"/>
              <w:jc w:val="left"/>
              <w:rPr>
                <w:sz w:val="20"/>
              </w:rPr>
            </w:pPr>
            <w:r>
              <w:rPr>
                <w:sz w:val="20"/>
              </w:rPr>
              <w:t>Section 7.07.</w:t>
            </w:r>
          </w:p>
        </w:tc>
        <w:tc>
          <w:tcPr>
            <w:tcW w:w="881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Limitation on Suits.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68</w:t>
            </w:r>
          </w:p>
        </w:tc>
      </w:tr>
      <w:tr>
        <w:trPr/>
        <w:tc>
          <w:tcPr>
            <w:tcW w:w="1080" w:type="dxa"/>
            <w:tcBorders/>
            <w:vAlign w:val="center"/>
          </w:tcPr>
          <w:p>
            <w:pPr>
              <w:pStyle w:val="TableContents"/>
              <w:bidi w:val="0"/>
              <w:spacing w:before="0" w:after="283"/>
              <w:ind w:left="0" w:right="0" w:hanging="0"/>
              <w:jc w:val="left"/>
              <w:rPr>
                <w:sz w:val="20"/>
              </w:rPr>
            </w:pPr>
            <w:r>
              <w:rPr>
                <w:sz w:val="20"/>
              </w:rPr>
              <w:t>Section 7.08.</w:t>
            </w:r>
          </w:p>
        </w:tc>
        <w:tc>
          <w:tcPr>
            <w:tcW w:w="881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Absolute Right of Holders to Institute Suit for the Enforcement of the Right to Receive Payment and Conversion Consideration.</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69</w:t>
            </w:r>
          </w:p>
        </w:tc>
      </w:tr>
      <w:tr>
        <w:trPr/>
        <w:tc>
          <w:tcPr>
            <w:tcW w:w="1080" w:type="dxa"/>
            <w:tcBorders/>
            <w:vAlign w:val="center"/>
          </w:tcPr>
          <w:p>
            <w:pPr>
              <w:pStyle w:val="TableContents"/>
              <w:bidi w:val="0"/>
              <w:spacing w:before="0" w:after="283"/>
              <w:ind w:left="0" w:right="0" w:hanging="0"/>
              <w:jc w:val="left"/>
              <w:rPr>
                <w:sz w:val="20"/>
              </w:rPr>
            </w:pPr>
            <w:r>
              <w:rPr>
                <w:sz w:val="20"/>
              </w:rPr>
              <w:t>Section 7.09.</w:t>
            </w:r>
          </w:p>
        </w:tc>
        <w:tc>
          <w:tcPr>
            <w:tcW w:w="881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Collection Suit by Trustee.</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69</w:t>
            </w:r>
          </w:p>
        </w:tc>
      </w:tr>
      <w:tr>
        <w:trPr/>
        <w:tc>
          <w:tcPr>
            <w:tcW w:w="1080" w:type="dxa"/>
            <w:tcBorders/>
            <w:vAlign w:val="center"/>
          </w:tcPr>
          <w:p>
            <w:pPr>
              <w:pStyle w:val="TableContents"/>
              <w:bidi w:val="0"/>
              <w:spacing w:before="0" w:after="283"/>
              <w:ind w:left="0" w:right="0" w:hanging="0"/>
              <w:jc w:val="left"/>
              <w:rPr>
                <w:sz w:val="20"/>
              </w:rPr>
            </w:pPr>
            <w:r>
              <w:rPr>
                <w:sz w:val="20"/>
              </w:rPr>
              <w:t>Section 7.10.</w:t>
            </w:r>
          </w:p>
        </w:tc>
        <w:tc>
          <w:tcPr>
            <w:tcW w:w="881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Trustee May File Proofs of Claim.</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69</w:t>
            </w:r>
          </w:p>
        </w:tc>
      </w:tr>
      <w:tr>
        <w:trPr/>
        <w:tc>
          <w:tcPr>
            <w:tcW w:w="1080" w:type="dxa"/>
            <w:tcBorders/>
            <w:vAlign w:val="center"/>
          </w:tcPr>
          <w:p>
            <w:pPr>
              <w:pStyle w:val="TableContents"/>
              <w:bidi w:val="0"/>
              <w:spacing w:before="0" w:after="283"/>
              <w:ind w:left="0" w:right="0" w:hanging="0"/>
              <w:jc w:val="left"/>
              <w:rPr>
                <w:sz w:val="20"/>
              </w:rPr>
            </w:pPr>
            <w:r>
              <w:rPr>
                <w:sz w:val="20"/>
              </w:rPr>
              <w:t>Section 7.11.</w:t>
            </w:r>
          </w:p>
        </w:tc>
        <w:tc>
          <w:tcPr>
            <w:tcW w:w="881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Priorities.</w:t>
            </w:r>
          </w:p>
        </w:tc>
        <w:tc>
          <w:tcPr>
            <w:tcW w:w="306"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70</w:t>
            </w:r>
          </w:p>
        </w:tc>
      </w:tr>
      <w:tr>
        <w:trPr/>
        <w:tc>
          <w:tcPr>
            <w:tcW w:w="1080" w:type="dxa"/>
            <w:tcBorders/>
            <w:vAlign w:val="center"/>
          </w:tcPr>
          <w:p>
            <w:pPr>
              <w:pStyle w:val="TableContents"/>
              <w:bidi w:val="0"/>
              <w:spacing w:before="0" w:after="283"/>
              <w:ind w:left="0" w:right="0" w:hanging="0"/>
              <w:jc w:val="left"/>
              <w:rPr>
                <w:sz w:val="20"/>
              </w:rPr>
            </w:pPr>
            <w:r>
              <w:rPr>
                <w:sz w:val="20"/>
              </w:rPr>
              <w:t>Section 7.12.</w:t>
            </w:r>
          </w:p>
        </w:tc>
        <w:tc>
          <w:tcPr>
            <w:tcW w:w="8819"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Undertaking for Costs.</w:t>
            </w:r>
          </w:p>
        </w:tc>
        <w:tc>
          <w:tcPr>
            <w:tcW w:w="306"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70</w:t>
            </w:r>
          </w:p>
        </w:tc>
      </w:tr>
    </w:tbl>
    <w:p>
      <w:pPr>
        <w:pStyle w:val="TextBody"/>
        <w:bidi w:val="0"/>
        <w:spacing w:before="0" w:after="0"/>
        <w:ind w:left="1080" w:right="0" w:hanging="1080"/>
        <w:jc w:val="left"/>
        <w:rPr>
          <w:caps w:val="false"/>
          <w:smallCaps w:val="false"/>
        </w:rPr>
      </w:pPr>
      <w:r>
        <w:rPr>
          <w:caps w:val="false"/>
          <w:smallCaps w:val="false"/>
        </w:rPr>
        <w:t> </w:t>
      </w:r>
    </w:p>
    <w:tbl>
      <w:tblPr>
        <w:tblW w:w="4485" w:type="dxa"/>
        <w:jc w:val="left"/>
        <w:tblInd w:w="0" w:type="dxa"/>
        <w:tblLayout w:type="fixed"/>
        <w:tblCellMar>
          <w:top w:w="30" w:type="dxa"/>
          <w:left w:w="30" w:type="dxa"/>
          <w:bottom w:w="30" w:type="dxa"/>
          <w:right w:w="30" w:type="dxa"/>
        </w:tblCellMar>
      </w:tblPr>
      <w:tblGrid>
        <w:gridCol w:w="845"/>
        <w:gridCol w:w="3335"/>
        <w:gridCol w:w="305"/>
      </w:tblGrid>
      <w:tr>
        <w:trPr/>
        <w:tc>
          <w:tcPr>
            <w:tcW w:w="845" w:type="dxa"/>
            <w:tcBorders/>
            <w:vAlign w:val="center"/>
          </w:tcPr>
          <w:p>
            <w:pPr>
              <w:pStyle w:val="TableContents"/>
              <w:bidi w:val="0"/>
              <w:spacing w:before="0" w:after="283"/>
              <w:ind w:left="0" w:right="0" w:hanging="0"/>
              <w:jc w:val="left"/>
              <w:rPr>
                <w:sz w:val="20"/>
              </w:rPr>
            </w:pPr>
            <w:r>
              <w:rPr>
                <w:sz w:val="20"/>
              </w:rPr>
              <w:t>Article 8.</w:t>
            </w:r>
          </w:p>
        </w:tc>
        <w:tc>
          <w:tcPr>
            <w:tcW w:w="3335" w:type="dxa"/>
            <w:tcBorders/>
            <w:vAlign w:val="center"/>
          </w:tcPr>
          <w:p>
            <w:pPr>
              <w:pStyle w:val="TableContents"/>
              <w:bidi w:val="0"/>
              <w:spacing w:before="0" w:after="283"/>
              <w:ind w:left="0" w:right="0" w:hanging="0"/>
              <w:jc w:val="left"/>
              <w:rPr>
                <w:sz w:val="20"/>
              </w:rPr>
            </w:pPr>
            <w:r>
              <w:rPr>
                <w:sz w:val="20"/>
              </w:rPr>
              <w:t>Amendments, Supplements and Waivers</w:t>
            </w:r>
          </w:p>
        </w:tc>
        <w:tc>
          <w:tcPr>
            <w:tcW w:w="305" w:type="dxa"/>
            <w:tcBorders/>
            <w:vAlign w:val="center"/>
          </w:tcPr>
          <w:p>
            <w:pPr>
              <w:pStyle w:val="TableContents"/>
              <w:bidi w:val="0"/>
              <w:spacing w:before="0" w:after="283"/>
              <w:jc w:val="right"/>
              <w:rPr>
                <w:sz w:val="20"/>
              </w:rPr>
            </w:pPr>
            <w:r>
              <w:rPr>
                <w:sz w:val="20"/>
              </w:rPr>
              <w:t>71</w:t>
            </w:r>
          </w:p>
        </w:tc>
      </w:tr>
    </w:tbl>
    <w:p>
      <w:pPr>
        <w:pStyle w:val="TextBody"/>
        <w:bidi w:val="0"/>
        <w:spacing w:before="0" w:after="0"/>
        <w:ind w:left="1080" w:right="0" w:hanging="1080"/>
        <w:jc w:val="left"/>
        <w:rPr>
          <w:caps w:val="false"/>
          <w:smallCaps w:val="false"/>
        </w:rPr>
      </w:pPr>
      <w:r>
        <w:rPr>
          <w:caps w:val="false"/>
          <w:smallCaps w:val="false"/>
        </w:rPr>
        <w:t> </w:t>
      </w:r>
    </w:p>
    <w:tbl>
      <w:tblPr>
        <w:tblW w:w="7665" w:type="dxa"/>
        <w:jc w:val="left"/>
        <w:tblInd w:w="0" w:type="dxa"/>
        <w:tblLayout w:type="fixed"/>
        <w:tblCellMar>
          <w:top w:w="0" w:type="dxa"/>
          <w:left w:w="0" w:type="dxa"/>
          <w:bottom w:w="0" w:type="dxa"/>
          <w:right w:w="0" w:type="dxa"/>
        </w:tblCellMar>
      </w:tblPr>
      <w:tblGrid>
        <w:gridCol w:w="1160"/>
        <w:gridCol w:w="6200"/>
        <w:gridCol w:w="305"/>
      </w:tblGrid>
      <w:tr>
        <w:trPr/>
        <w:tc>
          <w:tcPr>
            <w:tcW w:w="1160" w:type="dxa"/>
            <w:tcBorders/>
            <w:vAlign w:val="center"/>
          </w:tcPr>
          <w:p>
            <w:pPr>
              <w:pStyle w:val="TableContents"/>
              <w:bidi w:val="0"/>
              <w:spacing w:before="0" w:after="283"/>
              <w:ind w:left="0" w:right="0" w:hanging="0"/>
              <w:jc w:val="left"/>
              <w:rPr>
                <w:sz w:val="20"/>
              </w:rPr>
            </w:pPr>
            <w:r>
              <w:rPr>
                <w:sz w:val="20"/>
              </w:rPr>
              <w:t>Section 8.01.</w:t>
            </w:r>
          </w:p>
        </w:tc>
        <w:tc>
          <w:tcPr>
            <w:tcW w:w="620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Without the Consent of Holders.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71</w:t>
            </w:r>
          </w:p>
        </w:tc>
      </w:tr>
      <w:tr>
        <w:trPr/>
        <w:tc>
          <w:tcPr>
            <w:tcW w:w="1160" w:type="dxa"/>
            <w:tcBorders/>
            <w:vAlign w:val="center"/>
          </w:tcPr>
          <w:p>
            <w:pPr>
              <w:pStyle w:val="TableContents"/>
              <w:bidi w:val="0"/>
              <w:spacing w:before="0" w:after="283"/>
              <w:ind w:left="0" w:right="0" w:hanging="0"/>
              <w:jc w:val="left"/>
              <w:rPr>
                <w:sz w:val="20"/>
              </w:rPr>
            </w:pPr>
            <w:r>
              <w:rPr>
                <w:sz w:val="20"/>
              </w:rPr>
              <w:t>Section 8.02.</w:t>
            </w:r>
          </w:p>
        </w:tc>
        <w:tc>
          <w:tcPr>
            <w:tcW w:w="620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With the Consent of Holders.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72</w:t>
            </w:r>
          </w:p>
        </w:tc>
      </w:tr>
      <w:tr>
        <w:trPr/>
        <w:tc>
          <w:tcPr>
            <w:tcW w:w="1160" w:type="dxa"/>
            <w:tcBorders/>
            <w:vAlign w:val="center"/>
          </w:tcPr>
          <w:p>
            <w:pPr>
              <w:pStyle w:val="TableContents"/>
              <w:bidi w:val="0"/>
              <w:spacing w:before="0" w:after="283"/>
              <w:ind w:left="0" w:right="0" w:hanging="0"/>
              <w:jc w:val="left"/>
              <w:rPr>
                <w:sz w:val="20"/>
              </w:rPr>
            </w:pPr>
            <w:r>
              <w:rPr>
                <w:sz w:val="20"/>
              </w:rPr>
              <w:t>Section 8.03.</w:t>
            </w:r>
          </w:p>
        </w:tc>
        <w:tc>
          <w:tcPr>
            <w:tcW w:w="620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Notice of Amendments, Supplements and Waivers.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73</w:t>
            </w:r>
          </w:p>
        </w:tc>
      </w:tr>
      <w:tr>
        <w:trPr/>
        <w:tc>
          <w:tcPr>
            <w:tcW w:w="1160" w:type="dxa"/>
            <w:tcBorders/>
            <w:vAlign w:val="center"/>
          </w:tcPr>
          <w:p>
            <w:pPr>
              <w:pStyle w:val="TableContents"/>
              <w:bidi w:val="0"/>
              <w:spacing w:before="0" w:after="283"/>
              <w:ind w:left="0" w:right="0" w:hanging="0"/>
              <w:jc w:val="left"/>
              <w:rPr>
                <w:sz w:val="20"/>
              </w:rPr>
            </w:pPr>
            <w:r>
              <w:rPr>
                <w:sz w:val="20"/>
              </w:rPr>
              <w:t>Section 8.04.</w:t>
            </w:r>
          </w:p>
        </w:tc>
        <w:tc>
          <w:tcPr>
            <w:tcW w:w="620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Revocation, Effect and Solicitation of Consents; Special Record Dates; Etc.</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73</w:t>
            </w:r>
          </w:p>
        </w:tc>
      </w:tr>
      <w:tr>
        <w:trPr/>
        <w:tc>
          <w:tcPr>
            <w:tcW w:w="1160" w:type="dxa"/>
            <w:tcBorders/>
            <w:vAlign w:val="center"/>
          </w:tcPr>
          <w:p>
            <w:pPr>
              <w:pStyle w:val="TableContents"/>
              <w:bidi w:val="0"/>
              <w:spacing w:before="0" w:after="283"/>
              <w:ind w:left="0" w:right="0" w:hanging="0"/>
              <w:jc w:val="left"/>
              <w:rPr>
                <w:sz w:val="20"/>
              </w:rPr>
            </w:pPr>
            <w:r>
              <w:rPr>
                <w:sz w:val="20"/>
              </w:rPr>
              <w:t>Section 8.05.</w:t>
            </w:r>
          </w:p>
        </w:tc>
        <w:tc>
          <w:tcPr>
            <w:tcW w:w="620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Notations and Exchanges.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73</w:t>
            </w:r>
          </w:p>
        </w:tc>
      </w:tr>
      <w:tr>
        <w:trPr/>
        <w:tc>
          <w:tcPr>
            <w:tcW w:w="1160" w:type="dxa"/>
            <w:tcBorders/>
            <w:vAlign w:val="center"/>
          </w:tcPr>
          <w:p>
            <w:pPr>
              <w:pStyle w:val="TableContents"/>
              <w:bidi w:val="0"/>
              <w:spacing w:before="0" w:after="283"/>
              <w:ind w:left="0" w:right="0" w:hanging="0"/>
              <w:jc w:val="left"/>
              <w:rPr>
                <w:sz w:val="20"/>
              </w:rPr>
            </w:pPr>
            <w:r>
              <w:rPr>
                <w:sz w:val="20"/>
              </w:rPr>
              <w:t>Section 8.06.</w:t>
            </w:r>
          </w:p>
        </w:tc>
        <w:tc>
          <w:tcPr>
            <w:tcW w:w="620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Trustee to Execute Supplemental Indentures.</w:t>
            </w:r>
          </w:p>
        </w:tc>
        <w:tc>
          <w:tcPr>
            <w:tcW w:w="305"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74</w:t>
            </w:r>
          </w:p>
        </w:tc>
      </w:tr>
    </w:tbl>
    <w:p>
      <w:pPr>
        <w:pStyle w:val="TextBody"/>
        <w:bidi w:val="0"/>
        <w:spacing w:before="0" w:after="0"/>
        <w:ind w:left="1080" w:right="0" w:hanging="1080"/>
        <w:jc w:val="left"/>
        <w:rPr>
          <w:caps w:val="false"/>
          <w:smallCaps w:val="false"/>
        </w:rPr>
      </w:pPr>
      <w:r>
        <w:rPr>
          <w:caps w:val="false"/>
          <w:smallCaps w:val="false"/>
        </w:rPr>
        <w:t> </w:t>
      </w:r>
    </w:p>
    <w:tbl>
      <w:tblPr>
        <w:tblW w:w="3390" w:type="dxa"/>
        <w:jc w:val="left"/>
        <w:tblInd w:w="0" w:type="dxa"/>
        <w:tblLayout w:type="fixed"/>
        <w:tblCellMar>
          <w:top w:w="30" w:type="dxa"/>
          <w:left w:w="30" w:type="dxa"/>
          <w:bottom w:w="30" w:type="dxa"/>
          <w:right w:w="30" w:type="dxa"/>
        </w:tblCellMar>
      </w:tblPr>
      <w:tblGrid>
        <w:gridCol w:w="845"/>
        <w:gridCol w:w="2240"/>
        <w:gridCol w:w="305"/>
      </w:tblGrid>
      <w:tr>
        <w:trPr/>
        <w:tc>
          <w:tcPr>
            <w:tcW w:w="845" w:type="dxa"/>
            <w:tcBorders/>
            <w:vAlign w:val="center"/>
          </w:tcPr>
          <w:p>
            <w:pPr>
              <w:pStyle w:val="TableContents"/>
              <w:bidi w:val="0"/>
              <w:spacing w:before="0" w:after="283"/>
              <w:ind w:left="0" w:right="0" w:hanging="0"/>
              <w:jc w:val="left"/>
              <w:rPr>
                <w:sz w:val="20"/>
              </w:rPr>
            </w:pPr>
            <w:r>
              <w:rPr>
                <w:sz w:val="20"/>
              </w:rPr>
              <w:t>Article 9.</w:t>
            </w:r>
          </w:p>
        </w:tc>
        <w:tc>
          <w:tcPr>
            <w:tcW w:w="2240" w:type="dxa"/>
            <w:tcBorders/>
            <w:vAlign w:val="center"/>
          </w:tcPr>
          <w:p>
            <w:pPr>
              <w:pStyle w:val="TableContents"/>
              <w:bidi w:val="0"/>
              <w:spacing w:before="0" w:after="283"/>
              <w:ind w:left="0" w:right="0" w:hanging="0"/>
              <w:jc w:val="left"/>
              <w:rPr>
                <w:sz w:val="20"/>
              </w:rPr>
            </w:pPr>
            <w:r>
              <w:rPr>
                <w:sz w:val="20"/>
              </w:rPr>
              <w:t>Satisfaction and Discharge</w:t>
            </w:r>
          </w:p>
        </w:tc>
        <w:tc>
          <w:tcPr>
            <w:tcW w:w="305" w:type="dxa"/>
            <w:tcBorders/>
            <w:vAlign w:val="center"/>
          </w:tcPr>
          <w:p>
            <w:pPr>
              <w:pStyle w:val="TableContents"/>
              <w:bidi w:val="0"/>
              <w:spacing w:before="0" w:after="283"/>
              <w:jc w:val="right"/>
              <w:rPr>
                <w:sz w:val="20"/>
              </w:rPr>
            </w:pPr>
            <w:r>
              <w:rPr>
                <w:sz w:val="20"/>
              </w:rPr>
              <w:t>74</w:t>
            </w:r>
          </w:p>
        </w:tc>
      </w:tr>
    </w:tbl>
    <w:p>
      <w:pPr>
        <w:pStyle w:val="TextBody"/>
        <w:bidi w:val="0"/>
        <w:spacing w:before="0" w:after="0"/>
        <w:ind w:left="1080" w:right="0" w:hanging="108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1160"/>
        <w:gridCol w:w="3320"/>
        <w:gridCol w:w="305"/>
      </w:tblGrid>
      <w:tr>
        <w:trPr/>
        <w:tc>
          <w:tcPr>
            <w:tcW w:w="1160" w:type="dxa"/>
            <w:tcBorders/>
            <w:vAlign w:val="center"/>
          </w:tcPr>
          <w:p>
            <w:pPr>
              <w:pStyle w:val="TableContents"/>
              <w:bidi w:val="0"/>
              <w:spacing w:before="0" w:after="283"/>
              <w:ind w:left="0" w:right="0" w:hanging="0"/>
              <w:jc w:val="left"/>
              <w:rPr>
                <w:sz w:val="20"/>
              </w:rPr>
            </w:pPr>
            <w:r>
              <w:rPr>
                <w:sz w:val="20"/>
              </w:rPr>
              <w:t>Section 9.01.</w:t>
            </w:r>
          </w:p>
        </w:tc>
        <w:tc>
          <w:tcPr>
            <w:tcW w:w="332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Termination of Company’s Obligations.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74</w:t>
            </w:r>
          </w:p>
        </w:tc>
      </w:tr>
      <w:tr>
        <w:trPr/>
        <w:tc>
          <w:tcPr>
            <w:tcW w:w="1160" w:type="dxa"/>
            <w:tcBorders/>
            <w:vAlign w:val="center"/>
          </w:tcPr>
          <w:p>
            <w:pPr>
              <w:pStyle w:val="TableContents"/>
              <w:bidi w:val="0"/>
              <w:spacing w:before="0" w:after="283"/>
              <w:ind w:left="0" w:right="0" w:hanging="0"/>
              <w:jc w:val="left"/>
              <w:rPr>
                <w:sz w:val="20"/>
              </w:rPr>
            </w:pPr>
            <w:r>
              <w:rPr>
                <w:sz w:val="20"/>
              </w:rPr>
              <w:t>Section 9.02.</w:t>
            </w:r>
          </w:p>
        </w:tc>
        <w:tc>
          <w:tcPr>
            <w:tcW w:w="332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Repayment to Company.</w:t>
            </w:r>
          </w:p>
        </w:tc>
        <w:tc>
          <w:tcPr>
            <w:tcW w:w="305"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75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ii -</w:t>
      </w:r>
    </w:p>
    <w:p>
      <w:pPr>
        <w:pStyle w:val="TextBody"/>
        <w:bidi w:val="0"/>
        <w:spacing w:before="0" w:after="0"/>
        <w:ind w:left="0" w:right="0" w:hanging="0"/>
        <w:jc w:val="left"/>
        <w:rPr>
          <w:caps w:val="false"/>
          <w:smallCaps w:val="false"/>
        </w:rPr>
      </w:pPr>
      <w:r>
        <w:rPr>
          <w:caps w:val="false"/>
          <w:smallCaps w:val="false"/>
        </w:rPr>
        <w:t> </w:t>
      </w:r>
    </w:p>
    <w:tbl>
      <w:tblPr>
        <w:tblW w:w="2760" w:type="dxa"/>
        <w:jc w:val="left"/>
        <w:tblInd w:w="0" w:type="dxa"/>
        <w:tblLayout w:type="fixed"/>
        <w:tblCellMar>
          <w:top w:w="0" w:type="dxa"/>
          <w:left w:w="0" w:type="dxa"/>
          <w:bottom w:w="0" w:type="dxa"/>
          <w:right w:w="0" w:type="dxa"/>
        </w:tblCellMar>
      </w:tblPr>
      <w:tblGrid>
        <w:gridCol w:w="1160"/>
        <w:gridCol w:w="1295"/>
        <w:gridCol w:w="305"/>
      </w:tblGrid>
      <w:tr>
        <w:trPr/>
        <w:tc>
          <w:tcPr>
            <w:tcW w:w="1160" w:type="dxa"/>
            <w:tcBorders/>
            <w:vAlign w:val="center"/>
          </w:tcPr>
          <w:p>
            <w:pPr>
              <w:pStyle w:val="TableContents"/>
              <w:bidi w:val="0"/>
              <w:spacing w:before="0" w:after="283"/>
              <w:ind w:left="0" w:right="0" w:hanging="0"/>
              <w:jc w:val="left"/>
              <w:rPr>
                <w:sz w:val="20"/>
              </w:rPr>
            </w:pPr>
            <w:r>
              <w:rPr>
                <w:sz w:val="20"/>
              </w:rPr>
              <w:t>Section 9.03.</w:t>
            </w:r>
          </w:p>
        </w:tc>
        <w:tc>
          <w:tcPr>
            <w:tcW w:w="1295"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Reinstatement.</w:t>
            </w:r>
          </w:p>
        </w:tc>
        <w:tc>
          <w:tcPr>
            <w:tcW w:w="305"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75</w:t>
            </w:r>
          </w:p>
        </w:tc>
      </w:tr>
    </w:tbl>
    <w:p>
      <w:pPr>
        <w:pStyle w:val="TextBody"/>
        <w:bidi w:val="0"/>
        <w:spacing w:before="0" w:after="0"/>
        <w:ind w:left="1080" w:right="0" w:hanging="1080"/>
        <w:jc w:val="left"/>
        <w:rPr>
          <w:caps w:val="false"/>
          <w:smallCaps w:val="false"/>
        </w:rPr>
      </w:pPr>
      <w:r>
        <w:rPr>
          <w:caps w:val="false"/>
          <w:smallCaps w:val="false"/>
        </w:rPr>
        <w:t> </w:t>
      </w:r>
    </w:p>
    <w:tbl>
      <w:tblPr>
        <w:tblW w:w="1935" w:type="dxa"/>
        <w:jc w:val="left"/>
        <w:tblInd w:w="0" w:type="dxa"/>
        <w:tblLayout w:type="fixed"/>
        <w:tblCellMar>
          <w:top w:w="30" w:type="dxa"/>
          <w:left w:w="30" w:type="dxa"/>
          <w:bottom w:w="30" w:type="dxa"/>
          <w:right w:w="30" w:type="dxa"/>
        </w:tblCellMar>
      </w:tblPr>
      <w:tblGrid>
        <w:gridCol w:w="950"/>
        <w:gridCol w:w="680"/>
        <w:gridCol w:w="305"/>
      </w:tblGrid>
      <w:tr>
        <w:trPr/>
        <w:tc>
          <w:tcPr>
            <w:tcW w:w="950" w:type="dxa"/>
            <w:tcBorders/>
            <w:vAlign w:val="center"/>
          </w:tcPr>
          <w:p>
            <w:pPr>
              <w:pStyle w:val="TableContents"/>
              <w:bidi w:val="0"/>
              <w:spacing w:before="0" w:after="283"/>
              <w:ind w:left="0" w:right="0" w:hanging="0"/>
              <w:jc w:val="left"/>
              <w:rPr>
                <w:sz w:val="20"/>
              </w:rPr>
            </w:pPr>
            <w:r>
              <w:rPr>
                <w:sz w:val="20"/>
              </w:rPr>
              <w:t>Article 10.</w:t>
            </w:r>
          </w:p>
        </w:tc>
        <w:tc>
          <w:tcPr>
            <w:tcW w:w="680" w:type="dxa"/>
            <w:tcBorders/>
            <w:vAlign w:val="center"/>
          </w:tcPr>
          <w:p>
            <w:pPr>
              <w:pStyle w:val="TableContents"/>
              <w:bidi w:val="0"/>
              <w:spacing w:before="0" w:after="283"/>
              <w:ind w:left="0" w:right="0" w:hanging="0"/>
              <w:jc w:val="left"/>
              <w:rPr>
                <w:sz w:val="20"/>
              </w:rPr>
            </w:pPr>
            <w:r>
              <w:rPr>
                <w:sz w:val="20"/>
              </w:rPr>
              <w:t>Trustee</w:t>
            </w:r>
          </w:p>
        </w:tc>
        <w:tc>
          <w:tcPr>
            <w:tcW w:w="305" w:type="dxa"/>
            <w:tcBorders/>
            <w:vAlign w:val="center"/>
          </w:tcPr>
          <w:p>
            <w:pPr>
              <w:pStyle w:val="TableContents"/>
              <w:bidi w:val="0"/>
              <w:spacing w:before="0" w:after="283"/>
              <w:jc w:val="right"/>
              <w:rPr>
                <w:sz w:val="20"/>
              </w:rPr>
            </w:pPr>
            <w:r>
              <w:rPr>
                <w:sz w:val="20"/>
              </w:rPr>
              <w:t>75</w:t>
            </w:r>
          </w:p>
        </w:tc>
      </w:tr>
    </w:tbl>
    <w:p>
      <w:pPr>
        <w:pStyle w:val="TextBody"/>
        <w:bidi w:val="0"/>
        <w:spacing w:before="0" w:after="0"/>
        <w:ind w:left="1080" w:right="0" w:hanging="1080"/>
        <w:jc w:val="left"/>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1265"/>
        <w:gridCol w:w="2810"/>
        <w:gridCol w:w="305"/>
      </w:tblGrid>
      <w:tr>
        <w:trPr/>
        <w:tc>
          <w:tcPr>
            <w:tcW w:w="1265" w:type="dxa"/>
            <w:tcBorders/>
            <w:vAlign w:val="center"/>
          </w:tcPr>
          <w:p>
            <w:pPr>
              <w:pStyle w:val="TableContents"/>
              <w:bidi w:val="0"/>
              <w:spacing w:before="0" w:after="283"/>
              <w:ind w:left="0" w:right="0" w:hanging="0"/>
              <w:jc w:val="left"/>
              <w:rPr>
                <w:sz w:val="20"/>
              </w:rPr>
            </w:pPr>
            <w:r>
              <w:rPr>
                <w:sz w:val="20"/>
              </w:rPr>
              <w:t>Section 10.01.</w:t>
            </w:r>
          </w:p>
        </w:tc>
        <w:tc>
          <w:tcPr>
            <w:tcW w:w="281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Duties of the Trustee.</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75</w:t>
            </w:r>
          </w:p>
        </w:tc>
      </w:tr>
      <w:tr>
        <w:trPr/>
        <w:tc>
          <w:tcPr>
            <w:tcW w:w="1265" w:type="dxa"/>
            <w:tcBorders/>
            <w:vAlign w:val="center"/>
          </w:tcPr>
          <w:p>
            <w:pPr>
              <w:pStyle w:val="TableContents"/>
              <w:bidi w:val="0"/>
              <w:spacing w:before="0" w:after="283"/>
              <w:ind w:left="0" w:right="0" w:hanging="0"/>
              <w:jc w:val="left"/>
              <w:rPr>
                <w:sz w:val="20"/>
              </w:rPr>
            </w:pPr>
            <w:r>
              <w:rPr>
                <w:sz w:val="20"/>
              </w:rPr>
              <w:t>Section 10.02.</w:t>
            </w:r>
          </w:p>
        </w:tc>
        <w:tc>
          <w:tcPr>
            <w:tcW w:w="281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Rights of the Trustee.</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76</w:t>
            </w:r>
          </w:p>
        </w:tc>
      </w:tr>
      <w:tr>
        <w:trPr/>
        <w:tc>
          <w:tcPr>
            <w:tcW w:w="1265" w:type="dxa"/>
            <w:tcBorders/>
            <w:vAlign w:val="center"/>
          </w:tcPr>
          <w:p>
            <w:pPr>
              <w:pStyle w:val="TableContents"/>
              <w:bidi w:val="0"/>
              <w:spacing w:before="0" w:after="283"/>
              <w:ind w:left="0" w:right="0" w:hanging="0"/>
              <w:jc w:val="left"/>
              <w:rPr>
                <w:sz w:val="20"/>
              </w:rPr>
            </w:pPr>
            <w:r>
              <w:rPr>
                <w:sz w:val="20"/>
              </w:rPr>
              <w:t>Section 10.03.</w:t>
            </w:r>
          </w:p>
        </w:tc>
        <w:tc>
          <w:tcPr>
            <w:tcW w:w="281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Individual Rights of the Trustee.</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77</w:t>
            </w:r>
          </w:p>
        </w:tc>
      </w:tr>
      <w:tr>
        <w:trPr/>
        <w:tc>
          <w:tcPr>
            <w:tcW w:w="1265" w:type="dxa"/>
            <w:tcBorders/>
            <w:vAlign w:val="center"/>
          </w:tcPr>
          <w:p>
            <w:pPr>
              <w:pStyle w:val="TableContents"/>
              <w:bidi w:val="0"/>
              <w:spacing w:before="0" w:after="283"/>
              <w:ind w:left="0" w:right="0" w:hanging="0"/>
              <w:jc w:val="left"/>
              <w:rPr>
                <w:sz w:val="20"/>
              </w:rPr>
            </w:pPr>
            <w:r>
              <w:rPr>
                <w:sz w:val="20"/>
              </w:rPr>
              <w:t>Section 10.04.</w:t>
            </w:r>
          </w:p>
        </w:tc>
        <w:tc>
          <w:tcPr>
            <w:tcW w:w="281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Trustee’s Disclaimer.</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78</w:t>
            </w:r>
          </w:p>
        </w:tc>
      </w:tr>
      <w:tr>
        <w:trPr/>
        <w:tc>
          <w:tcPr>
            <w:tcW w:w="1265" w:type="dxa"/>
            <w:tcBorders/>
            <w:vAlign w:val="center"/>
          </w:tcPr>
          <w:p>
            <w:pPr>
              <w:pStyle w:val="TableContents"/>
              <w:bidi w:val="0"/>
              <w:spacing w:before="0" w:after="283"/>
              <w:ind w:left="0" w:right="0" w:hanging="0"/>
              <w:jc w:val="left"/>
              <w:rPr>
                <w:sz w:val="20"/>
              </w:rPr>
            </w:pPr>
            <w:r>
              <w:rPr>
                <w:sz w:val="20"/>
              </w:rPr>
              <w:t>Section 10.05.</w:t>
            </w:r>
          </w:p>
        </w:tc>
        <w:tc>
          <w:tcPr>
            <w:tcW w:w="281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Notice of Defaults.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78</w:t>
            </w:r>
          </w:p>
        </w:tc>
      </w:tr>
      <w:tr>
        <w:trPr/>
        <w:tc>
          <w:tcPr>
            <w:tcW w:w="1265" w:type="dxa"/>
            <w:tcBorders/>
            <w:vAlign w:val="center"/>
          </w:tcPr>
          <w:p>
            <w:pPr>
              <w:pStyle w:val="TableContents"/>
              <w:bidi w:val="0"/>
              <w:spacing w:before="0" w:after="283"/>
              <w:ind w:left="0" w:right="0" w:hanging="0"/>
              <w:jc w:val="left"/>
              <w:rPr>
                <w:sz w:val="20"/>
              </w:rPr>
            </w:pPr>
            <w:r>
              <w:rPr>
                <w:sz w:val="20"/>
              </w:rPr>
              <w:t>Section 10.06.</w:t>
            </w:r>
          </w:p>
        </w:tc>
        <w:tc>
          <w:tcPr>
            <w:tcW w:w="281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Compensation and Indemnity.</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78</w:t>
            </w:r>
          </w:p>
        </w:tc>
      </w:tr>
      <w:tr>
        <w:trPr/>
        <w:tc>
          <w:tcPr>
            <w:tcW w:w="1265" w:type="dxa"/>
            <w:tcBorders/>
            <w:vAlign w:val="center"/>
          </w:tcPr>
          <w:p>
            <w:pPr>
              <w:pStyle w:val="TableContents"/>
              <w:bidi w:val="0"/>
              <w:spacing w:before="0" w:after="283"/>
              <w:ind w:left="0" w:right="0" w:hanging="0"/>
              <w:jc w:val="left"/>
              <w:rPr>
                <w:sz w:val="20"/>
              </w:rPr>
            </w:pPr>
            <w:r>
              <w:rPr>
                <w:sz w:val="20"/>
              </w:rPr>
              <w:t>Section 10.07.</w:t>
            </w:r>
          </w:p>
        </w:tc>
        <w:tc>
          <w:tcPr>
            <w:tcW w:w="281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Replacement of the Trustee.</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79</w:t>
            </w:r>
          </w:p>
        </w:tc>
      </w:tr>
      <w:tr>
        <w:trPr/>
        <w:tc>
          <w:tcPr>
            <w:tcW w:w="1265" w:type="dxa"/>
            <w:tcBorders/>
            <w:vAlign w:val="center"/>
          </w:tcPr>
          <w:p>
            <w:pPr>
              <w:pStyle w:val="TableContents"/>
              <w:bidi w:val="0"/>
              <w:spacing w:before="0" w:after="283"/>
              <w:ind w:left="0" w:right="0" w:hanging="0"/>
              <w:jc w:val="left"/>
              <w:rPr>
                <w:sz w:val="20"/>
              </w:rPr>
            </w:pPr>
            <w:r>
              <w:rPr>
                <w:sz w:val="20"/>
              </w:rPr>
              <w:t>Section 10.08.</w:t>
            </w:r>
          </w:p>
        </w:tc>
        <w:tc>
          <w:tcPr>
            <w:tcW w:w="281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Successor Trustee by Merger, Etc.</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80</w:t>
            </w:r>
          </w:p>
        </w:tc>
      </w:tr>
      <w:tr>
        <w:trPr/>
        <w:tc>
          <w:tcPr>
            <w:tcW w:w="1265" w:type="dxa"/>
            <w:tcBorders/>
            <w:vAlign w:val="center"/>
          </w:tcPr>
          <w:p>
            <w:pPr>
              <w:pStyle w:val="TableContents"/>
              <w:bidi w:val="0"/>
              <w:spacing w:before="0" w:after="283"/>
              <w:ind w:left="0" w:right="0" w:hanging="0"/>
              <w:jc w:val="left"/>
              <w:rPr>
                <w:sz w:val="20"/>
              </w:rPr>
            </w:pPr>
            <w:r>
              <w:rPr>
                <w:sz w:val="20"/>
              </w:rPr>
              <w:t>Section 10.09.</w:t>
            </w:r>
          </w:p>
        </w:tc>
        <w:tc>
          <w:tcPr>
            <w:tcW w:w="2810" w:type="dxa"/>
            <w:tcBorders/>
            <w:tcMar>
              <w:top w:w="30" w:type="dxa"/>
              <w:left w:w="30" w:type="dxa"/>
              <w:bottom w:w="30" w:type="dxa"/>
              <w:right w:w="30" w:type="dxa"/>
            </w:tcMar>
            <w:vAlign w:val="center"/>
          </w:tcPr>
          <w:p>
            <w:pPr>
              <w:pStyle w:val="TableContents"/>
              <w:bidi w:val="0"/>
              <w:spacing w:before="0" w:after="283"/>
              <w:ind w:left="0" w:right="0" w:hanging="0"/>
              <w:jc w:val="left"/>
              <w:rPr>
                <w:sz w:val="20"/>
              </w:rPr>
            </w:pPr>
            <w:r>
              <w:rPr>
                <w:sz w:val="20"/>
              </w:rPr>
              <w:t>Eligibility; Disqualification.</w:t>
            </w:r>
          </w:p>
        </w:tc>
        <w:tc>
          <w:tcPr>
            <w:tcW w:w="305"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80</w:t>
            </w:r>
          </w:p>
        </w:tc>
      </w:tr>
    </w:tbl>
    <w:p>
      <w:pPr>
        <w:pStyle w:val="TextBody"/>
        <w:bidi w:val="0"/>
        <w:spacing w:before="0" w:after="0"/>
        <w:ind w:left="1080" w:right="0" w:hanging="1080"/>
        <w:jc w:val="left"/>
        <w:rPr>
          <w:caps w:val="false"/>
          <w:smallCaps w:val="false"/>
        </w:rPr>
      </w:pPr>
      <w:r>
        <w:rPr>
          <w:caps w:val="false"/>
          <w:smallCaps w:val="false"/>
        </w:rPr>
        <w:t> </w:t>
      </w:r>
    </w:p>
    <w:tbl>
      <w:tblPr>
        <w:tblW w:w="2520" w:type="dxa"/>
        <w:jc w:val="left"/>
        <w:tblInd w:w="0" w:type="dxa"/>
        <w:tblLayout w:type="fixed"/>
        <w:tblCellMar>
          <w:top w:w="30" w:type="dxa"/>
          <w:left w:w="30" w:type="dxa"/>
          <w:bottom w:w="30" w:type="dxa"/>
          <w:right w:w="30" w:type="dxa"/>
        </w:tblCellMar>
      </w:tblPr>
      <w:tblGrid>
        <w:gridCol w:w="950"/>
        <w:gridCol w:w="1265"/>
        <w:gridCol w:w="305"/>
      </w:tblGrid>
      <w:tr>
        <w:trPr/>
        <w:tc>
          <w:tcPr>
            <w:tcW w:w="950" w:type="dxa"/>
            <w:tcBorders/>
            <w:vAlign w:val="center"/>
          </w:tcPr>
          <w:p>
            <w:pPr>
              <w:pStyle w:val="TableContents"/>
              <w:bidi w:val="0"/>
              <w:spacing w:before="0" w:after="283"/>
              <w:ind w:left="0" w:right="0" w:hanging="0"/>
              <w:jc w:val="left"/>
              <w:rPr>
                <w:sz w:val="20"/>
              </w:rPr>
            </w:pPr>
            <w:r>
              <w:rPr>
                <w:sz w:val="20"/>
              </w:rPr>
              <w:t>Article 11.</w:t>
            </w:r>
          </w:p>
        </w:tc>
        <w:tc>
          <w:tcPr>
            <w:tcW w:w="1265" w:type="dxa"/>
            <w:tcBorders/>
            <w:vAlign w:val="center"/>
          </w:tcPr>
          <w:p>
            <w:pPr>
              <w:pStyle w:val="TableContents"/>
              <w:bidi w:val="0"/>
              <w:spacing w:before="0" w:after="283"/>
              <w:jc w:val="left"/>
              <w:rPr>
                <w:sz w:val="20"/>
              </w:rPr>
            </w:pPr>
            <w:r>
              <w:rPr>
                <w:sz w:val="20"/>
              </w:rPr>
              <w:t>Miscellaneous</w:t>
            </w:r>
          </w:p>
        </w:tc>
        <w:tc>
          <w:tcPr>
            <w:tcW w:w="305" w:type="dxa"/>
            <w:tcBorders/>
            <w:vAlign w:val="center"/>
          </w:tcPr>
          <w:p>
            <w:pPr>
              <w:pStyle w:val="TableContents"/>
              <w:bidi w:val="0"/>
              <w:spacing w:before="0" w:after="283"/>
              <w:jc w:val="right"/>
              <w:rPr>
                <w:sz w:val="20"/>
              </w:rPr>
            </w:pPr>
            <w:r>
              <w:rPr>
                <w:sz w:val="20"/>
              </w:rPr>
              <w:t>80</w:t>
            </w:r>
          </w:p>
        </w:tc>
      </w:tr>
    </w:tbl>
    <w:p>
      <w:pPr>
        <w:pStyle w:val="TextBody"/>
        <w:bidi w:val="0"/>
        <w:spacing w:before="0" w:after="0"/>
        <w:ind w:left="1080" w:right="0" w:hanging="1080"/>
        <w:jc w:val="left"/>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1265"/>
        <w:gridCol w:w="6890"/>
        <w:gridCol w:w="305"/>
      </w:tblGrid>
      <w:tr>
        <w:trPr/>
        <w:tc>
          <w:tcPr>
            <w:tcW w:w="1265" w:type="dxa"/>
            <w:tcBorders/>
            <w:vAlign w:val="center"/>
          </w:tcPr>
          <w:p>
            <w:pPr>
              <w:pStyle w:val="TableContents"/>
              <w:bidi w:val="0"/>
              <w:spacing w:before="0" w:after="283"/>
              <w:ind w:left="0" w:right="0" w:hanging="0"/>
              <w:jc w:val="left"/>
              <w:rPr>
                <w:sz w:val="20"/>
              </w:rPr>
            </w:pPr>
            <w:r>
              <w:rPr>
                <w:sz w:val="20"/>
              </w:rPr>
              <w:t>Section 11.01.</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Notices.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80</w:t>
            </w:r>
          </w:p>
        </w:tc>
      </w:tr>
      <w:tr>
        <w:trPr/>
        <w:tc>
          <w:tcPr>
            <w:tcW w:w="1265" w:type="dxa"/>
            <w:tcBorders/>
            <w:vAlign w:val="center"/>
          </w:tcPr>
          <w:p>
            <w:pPr>
              <w:pStyle w:val="TableContents"/>
              <w:bidi w:val="0"/>
              <w:spacing w:before="0" w:after="283"/>
              <w:ind w:left="0" w:right="0" w:hanging="0"/>
              <w:jc w:val="left"/>
              <w:rPr>
                <w:sz w:val="20"/>
              </w:rPr>
            </w:pPr>
            <w:r>
              <w:rPr>
                <w:sz w:val="20"/>
              </w:rPr>
              <w:t>Section 11.02.</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Delivery of Officer’s Certificate and Opinion of Counsel as to Conditions Precedent.</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82</w:t>
            </w:r>
          </w:p>
        </w:tc>
      </w:tr>
      <w:tr>
        <w:trPr/>
        <w:tc>
          <w:tcPr>
            <w:tcW w:w="1265" w:type="dxa"/>
            <w:tcBorders/>
            <w:vAlign w:val="center"/>
          </w:tcPr>
          <w:p>
            <w:pPr>
              <w:pStyle w:val="TableContents"/>
              <w:bidi w:val="0"/>
              <w:spacing w:before="0" w:after="283"/>
              <w:ind w:left="0" w:right="0" w:hanging="0"/>
              <w:jc w:val="left"/>
              <w:rPr>
                <w:sz w:val="20"/>
              </w:rPr>
            </w:pPr>
            <w:r>
              <w:rPr>
                <w:sz w:val="20"/>
              </w:rPr>
              <w:t>Section 11.03.</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Statements Required in Officer’s Certificate and Opinion of Counsel.</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82</w:t>
            </w:r>
          </w:p>
        </w:tc>
      </w:tr>
      <w:tr>
        <w:trPr/>
        <w:tc>
          <w:tcPr>
            <w:tcW w:w="1265" w:type="dxa"/>
            <w:tcBorders/>
            <w:vAlign w:val="center"/>
          </w:tcPr>
          <w:p>
            <w:pPr>
              <w:pStyle w:val="TableContents"/>
              <w:bidi w:val="0"/>
              <w:spacing w:before="0" w:after="283"/>
              <w:ind w:left="0" w:right="0" w:hanging="0"/>
              <w:jc w:val="left"/>
              <w:rPr>
                <w:sz w:val="20"/>
              </w:rPr>
            </w:pPr>
            <w:r>
              <w:rPr>
                <w:sz w:val="20"/>
              </w:rPr>
              <w:t>Section 11.04.</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Rules by the Trustee, the Registrar, the Paying Agent and the Conversion Agent.</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83</w:t>
            </w:r>
          </w:p>
        </w:tc>
      </w:tr>
      <w:tr>
        <w:trPr/>
        <w:tc>
          <w:tcPr>
            <w:tcW w:w="1265" w:type="dxa"/>
            <w:tcBorders/>
            <w:vAlign w:val="center"/>
          </w:tcPr>
          <w:p>
            <w:pPr>
              <w:pStyle w:val="TableContents"/>
              <w:bidi w:val="0"/>
              <w:spacing w:before="0" w:after="283"/>
              <w:ind w:left="0" w:right="0" w:hanging="0"/>
              <w:jc w:val="left"/>
              <w:rPr>
                <w:sz w:val="20"/>
              </w:rPr>
            </w:pPr>
            <w:r>
              <w:rPr>
                <w:sz w:val="20"/>
              </w:rPr>
              <w:t>Section 11.05.</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No Personal Liability of Directors, Officers, Employees and Stockholders.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83</w:t>
            </w:r>
          </w:p>
        </w:tc>
      </w:tr>
      <w:tr>
        <w:trPr/>
        <w:tc>
          <w:tcPr>
            <w:tcW w:w="1265" w:type="dxa"/>
            <w:tcBorders/>
            <w:vAlign w:val="center"/>
          </w:tcPr>
          <w:p>
            <w:pPr>
              <w:pStyle w:val="TableContents"/>
              <w:bidi w:val="0"/>
              <w:spacing w:before="0" w:after="283"/>
              <w:ind w:left="0" w:right="0" w:hanging="0"/>
              <w:jc w:val="left"/>
              <w:rPr>
                <w:sz w:val="20"/>
              </w:rPr>
            </w:pPr>
            <w:r>
              <w:rPr>
                <w:sz w:val="20"/>
              </w:rPr>
              <w:t>Section 11.06.</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Governing Law; Waiver of Jury Trial.</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83</w:t>
            </w:r>
          </w:p>
        </w:tc>
      </w:tr>
      <w:tr>
        <w:trPr/>
        <w:tc>
          <w:tcPr>
            <w:tcW w:w="1265" w:type="dxa"/>
            <w:tcBorders/>
            <w:vAlign w:val="center"/>
          </w:tcPr>
          <w:p>
            <w:pPr>
              <w:pStyle w:val="TableContents"/>
              <w:bidi w:val="0"/>
              <w:spacing w:before="0" w:after="283"/>
              <w:ind w:left="0" w:right="0" w:hanging="0"/>
              <w:jc w:val="left"/>
              <w:rPr>
                <w:sz w:val="20"/>
              </w:rPr>
            </w:pPr>
            <w:r>
              <w:rPr>
                <w:sz w:val="20"/>
              </w:rPr>
              <w:t>Section 11.07.</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Submission to Jurisdiction.</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83</w:t>
            </w:r>
          </w:p>
        </w:tc>
      </w:tr>
      <w:tr>
        <w:trPr/>
        <w:tc>
          <w:tcPr>
            <w:tcW w:w="1265" w:type="dxa"/>
            <w:tcBorders/>
            <w:vAlign w:val="center"/>
          </w:tcPr>
          <w:p>
            <w:pPr>
              <w:pStyle w:val="TableContents"/>
              <w:bidi w:val="0"/>
              <w:spacing w:before="0" w:after="283"/>
              <w:ind w:left="0" w:right="0" w:hanging="0"/>
              <w:jc w:val="left"/>
              <w:rPr>
                <w:sz w:val="20"/>
              </w:rPr>
            </w:pPr>
            <w:r>
              <w:rPr>
                <w:sz w:val="20"/>
              </w:rPr>
              <w:t>Section 11.08.</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No Adverse Interpretation of Other Agreements.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84</w:t>
            </w:r>
          </w:p>
        </w:tc>
      </w:tr>
      <w:tr>
        <w:trPr/>
        <w:tc>
          <w:tcPr>
            <w:tcW w:w="1265" w:type="dxa"/>
            <w:tcBorders/>
            <w:vAlign w:val="center"/>
          </w:tcPr>
          <w:p>
            <w:pPr>
              <w:pStyle w:val="TableContents"/>
              <w:bidi w:val="0"/>
              <w:spacing w:before="0" w:after="283"/>
              <w:ind w:left="0" w:right="0" w:hanging="0"/>
              <w:jc w:val="left"/>
              <w:rPr>
                <w:sz w:val="20"/>
              </w:rPr>
            </w:pPr>
            <w:r>
              <w:rPr>
                <w:sz w:val="20"/>
              </w:rPr>
              <w:t>Section 11.09.</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Successors.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84</w:t>
            </w:r>
          </w:p>
        </w:tc>
      </w:tr>
      <w:tr>
        <w:trPr/>
        <w:tc>
          <w:tcPr>
            <w:tcW w:w="1265" w:type="dxa"/>
            <w:tcBorders/>
            <w:vAlign w:val="center"/>
          </w:tcPr>
          <w:p>
            <w:pPr>
              <w:pStyle w:val="TableContents"/>
              <w:bidi w:val="0"/>
              <w:spacing w:before="0" w:after="283"/>
              <w:ind w:left="0" w:right="0" w:hanging="0"/>
              <w:jc w:val="left"/>
              <w:rPr>
                <w:sz w:val="20"/>
              </w:rPr>
            </w:pPr>
            <w:r>
              <w:rPr>
                <w:sz w:val="20"/>
              </w:rPr>
              <w:t>Section 11.10.</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Force Majeure.</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84</w:t>
            </w:r>
          </w:p>
        </w:tc>
      </w:tr>
      <w:tr>
        <w:trPr/>
        <w:tc>
          <w:tcPr>
            <w:tcW w:w="1265" w:type="dxa"/>
            <w:tcBorders/>
            <w:vAlign w:val="center"/>
          </w:tcPr>
          <w:p>
            <w:pPr>
              <w:pStyle w:val="TableContents"/>
              <w:bidi w:val="0"/>
              <w:spacing w:before="0" w:after="283"/>
              <w:ind w:left="0" w:right="0" w:hanging="0"/>
              <w:jc w:val="left"/>
              <w:rPr>
                <w:sz w:val="20"/>
              </w:rPr>
            </w:pPr>
            <w:r>
              <w:rPr>
                <w:sz w:val="20"/>
              </w:rPr>
              <w:t>Section 11.11.</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U.S.A. PATRIOT Act.</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84</w:t>
            </w:r>
          </w:p>
        </w:tc>
      </w:tr>
      <w:tr>
        <w:trPr/>
        <w:tc>
          <w:tcPr>
            <w:tcW w:w="1265" w:type="dxa"/>
            <w:tcBorders/>
            <w:vAlign w:val="center"/>
          </w:tcPr>
          <w:p>
            <w:pPr>
              <w:pStyle w:val="TableContents"/>
              <w:bidi w:val="0"/>
              <w:spacing w:before="0" w:after="283"/>
              <w:ind w:left="0" w:right="0" w:hanging="0"/>
              <w:jc w:val="left"/>
              <w:rPr>
                <w:sz w:val="20"/>
              </w:rPr>
            </w:pPr>
            <w:r>
              <w:rPr>
                <w:sz w:val="20"/>
              </w:rPr>
              <w:t>Section 11.12.</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Calculations.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84</w:t>
            </w:r>
          </w:p>
        </w:tc>
      </w:tr>
      <w:tr>
        <w:trPr/>
        <w:tc>
          <w:tcPr>
            <w:tcW w:w="1265" w:type="dxa"/>
            <w:tcBorders/>
            <w:vAlign w:val="center"/>
          </w:tcPr>
          <w:p>
            <w:pPr>
              <w:pStyle w:val="TableContents"/>
              <w:bidi w:val="0"/>
              <w:spacing w:before="0" w:after="283"/>
              <w:ind w:left="0" w:right="0" w:hanging="0"/>
              <w:jc w:val="left"/>
              <w:rPr>
                <w:sz w:val="20"/>
              </w:rPr>
            </w:pPr>
            <w:r>
              <w:rPr>
                <w:sz w:val="20"/>
              </w:rPr>
              <w:t>Section 11.13.</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Severability.</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85</w:t>
            </w:r>
          </w:p>
        </w:tc>
      </w:tr>
      <w:tr>
        <w:trPr/>
        <w:tc>
          <w:tcPr>
            <w:tcW w:w="1265" w:type="dxa"/>
            <w:tcBorders/>
            <w:vAlign w:val="center"/>
          </w:tcPr>
          <w:p>
            <w:pPr>
              <w:pStyle w:val="TableContents"/>
              <w:bidi w:val="0"/>
              <w:spacing w:before="0" w:after="283"/>
              <w:ind w:left="0" w:right="0" w:hanging="0"/>
              <w:jc w:val="left"/>
              <w:rPr>
                <w:sz w:val="20"/>
              </w:rPr>
            </w:pPr>
            <w:r>
              <w:rPr>
                <w:sz w:val="20"/>
              </w:rPr>
              <w:t>Section 11.14.</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Counterparts.</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85</w:t>
            </w:r>
          </w:p>
        </w:tc>
      </w:tr>
      <w:tr>
        <w:trPr/>
        <w:tc>
          <w:tcPr>
            <w:tcW w:w="1265" w:type="dxa"/>
            <w:tcBorders/>
            <w:vAlign w:val="center"/>
          </w:tcPr>
          <w:p>
            <w:pPr>
              <w:pStyle w:val="TableContents"/>
              <w:bidi w:val="0"/>
              <w:spacing w:before="0" w:after="283"/>
              <w:ind w:left="0" w:right="0" w:hanging="0"/>
              <w:jc w:val="left"/>
              <w:rPr>
                <w:sz w:val="20"/>
              </w:rPr>
            </w:pPr>
            <w:r>
              <w:rPr>
                <w:sz w:val="20"/>
              </w:rPr>
              <w:t>Section 11.15.</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Table of Contents, Headings, Etc.</w:t>
            </w:r>
          </w:p>
        </w:tc>
        <w:tc>
          <w:tcPr>
            <w:tcW w:w="305" w:type="dxa"/>
            <w:tcBorders/>
            <w:tcMar>
              <w:top w:w="30" w:type="dxa"/>
              <w:left w:w="30" w:type="dxa"/>
              <w:bottom w:w="30" w:type="dxa"/>
              <w:right w:w="30" w:type="dxa"/>
            </w:tcMar>
            <w:vAlign w:val="center"/>
          </w:tcPr>
          <w:p>
            <w:pPr>
              <w:pStyle w:val="TableContents"/>
              <w:bidi w:val="0"/>
              <w:spacing w:before="0" w:after="283"/>
              <w:ind w:left="0" w:right="0" w:hanging="0"/>
              <w:jc w:val="right"/>
              <w:rPr>
                <w:sz w:val="20"/>
              </w:rPr>
            </w:pPr>
            <w:r>
              <w:rPr>
                <w:sz w:val="20"/>
              </w:rPr>
              <w:t>85</w:t>
            </w:r>
          </w:p>
        </w:tc>
      </w:tr>
      <w:tr>
        <w:trPr/>
        <w:tc>
          <w:tcPr>
            <w:tcW w:w="1265" w:type="dxa"/>
            <w:tcBorders/>
            <w:vAlign w:val="center"/>
          </w:tcPr>
          <w:p>
            <w:pPr>
              <w:pStyle w:val="TableContents"/>
              <w:bidi w:val="0"/>
              <w:spacing w:before="0" w:after="283"/>
              <w:ind w:left="0" w:right="0" w:hanging="0"/>
              <w:jc w:val="left"/>
              <w:rPr>
                <w:sz w:val="20"/>
              </w:rPr>
            </w:pPr>
            <w:r>
              <w:rPr>
                <w:sz w:val="20"/>
              </w:rPr>
              <w:t>Section 11.16.</w:t>
            </w:r>
          </w:p>
        </w:tc>
        <w:tc>
          <w:tcPr>
            <w:tcW w:w="689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Withholding Taxes.</w:t>
            </w:r>
          </w:p>
        </w:tc>
        <w:tc>
          <w:tcPr>
            <w:tcW w:w="305" w:type="dxa"/>
            <w:tcBorders/>
            <w:tcMar>
              <w:top w:w="30" w:type="dxa"/>
              <w:left w:w="30" w:type="dxa"/>
              <w:bottom w:w="30" w:type="dxa"/>
              <w:right w:w="30" w:type="dxa"/>
            </w:tcMar>
            <w:vAlign w:val="center"/>
          </w:tcPr>
          <w:p>
            <w:pPr>
              <w:pStyle w:val="TableContents"/>
              <w:bidi w:val="0"/>
              <w:spacing w:before="0" w:after="283"/>
              <w:jc w:val="right"/>
              <w:rPr>
                <w:sz w:val="20"/>
              </w:rPr>
            </w:pPr>
            <w:r>
              <w:rPr>
                <w:sz w:val="20"/>
              </w:rPr>
              <w:t>85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695"/>
        <w:gridCol w:w="440"/>
      </w:tblGrid>
      <w:tr>
        <w:trPr/>
        <w:tc>
          <w:tcPr>
            <w:tcW w:w="3695" w:type="dxa"/>
            <w:tcBorders/>
            <w:vAlign w:val="center"/>
          </w:tcPr>
          <w:p>
            <w:pPr>
              <w:pStyle w:val="TableContents"/>
              <w:bidi w:val="0"/>
              <w:spacing w:before="0" w:after="283"/>
              <w:jc w:val="both"/>
              <w:rPr>
                <w:sz w:val="20"/>
              </w:rPr>
            </w:pPr>
            <w:r>
              <w:rPr>
                <w:sz w:val="20"/>
              </w:rPr>
              <w:t>Exhibit A: Form of Note</w:t>
            </w:r>
          </w:p>
        </w:tc>
        <w:tc>
          <w:tcPr>
            <w:tcW w:w="440" w:type="dxa"/>
            <w:tcBorders/>
            <w:vAlign w:val="center"/>
          </w:tcPr>
          <w:p>
            <w:pPr>
              <w:pStyle w:val="TableContents"/>
              <w:bidi w:val="0"/>
              <w:spacing w:before="0" w:after="283"/>
              <w:jc w:val="right"/>
              <w:rPr>
                <w:sz w:val="20"/>
              </w:rPr>
            </w:pPr>
            <w:r>
              <w:rPr>
                <w:sz w:val="20"/>
              </w:rPr>
              <w:t>A-1</w:t>
            </w:r>
          </w:p>
        </w:tc>
      </w:tr>
      <w:tr>
        <w:trPr/>
        <w:tc>
          <w:tcPr>
            <w:tcW w:w="369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right"/>
              <w:rPr/>
            </w:pPr>
            <w:r>
              <w:rPr/>
              <w:t> </w:t>
            </w:r>
          </w:p>
        </w:tc>
      </w:tr>
      <w:tr>
        <w:trPr/>
        <w:tc>
          <w:tcPr>
            <w:tcW w:w="3695" w:type="dxa"/>
            <w:tcBorders/>
            <w:vAlign w:val="center"/>
          </w:tcPr>
          <w:p>
            <w:pPr>
              <w:pStyle w:val="TableContents"/>
              <w:bidi w:val="0"/>
              <w:spacing w:before="0" w:after="283"/>
              <w:jc w:val="both"/>
              <w:rPr>
                <w:sz w:val="20"/>
              </w:rPr>
            </w:pPr>
            <w:r>
              <w:rPr>
                <w:sz w:val="20"/>
              </w:rPr>
              <w:t>Exhibit B-1: Form of Restricted Note Legend</w:t>
            </w:r>
          </w:p>
        </w:tc>
        <w:tc>
          <w:tcPr>
            <w:tcW w:w="440" w:type="dxa"/>
            <w:tcBorders/>
            <w:vAlign w:val="center"/>
          </w:tcPr>
          <w:p>
            <w:pPr>
              <w:pStyle w:val="TableContents"/>
              <w:bidi w:val="0"/>
              <w:spacing w:before="0" w:after="283"/>
              <w:jc w:val="right"/>
              <w:rPr>
                <w:sz w:val="20"/>
              </w:rPr>
            </w:pPr>
            <w:r>
              <w:rPr>
                <w:sz w:val="20"/>
              </w:rPr>
              <w:t>B1-1</w:t>
            </w:r>
          </w:p>
        </w:tc>
      </w:tr>
      <w:tr>
        <w:trPr/>
        <w:tc>
          <w:tcPr>
            <w:tcW w:w="369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right"/>
              <w:rPr/>
            </w:pPr>
            <w:r>
              <w:rPr/>
              <w:t> </w:t>
            </w:r>
          </w:p>
        </w:tc>
      </w:tr>
      <w:tr>
        <w:trPr/>
        <w:tc>
          <w:tcPr>
            <w:tcW w:w="3695" w:type="dxa"/>
            <w:tcBorders/>
            <w:vAlign w:val="center"/>
          </w:tcPr>
          <w:p>
            <w:pPr>
              <w:pStyle w:val="TableContents"/>
              <w:bidi w:val="0"/>
              <w:spacing w:before="0" w:after="283"/>
              <w:jc w:val="both"/>
              <w:rPr>
                <w:sz w:val="20"/>
              </w:rPr>
            </w:pPr>
            <w:r>
              <w:rPr>
                <w:sz w:val="20"/>
              </w:rPr>
              <w:t>Exhibit B-2: Form of Global Note Legend</w:t>
            </w:r>
          </w:p>
        </w:tc>
        <w:tc>
          <w:tcPr>
            <w:tcW w:w="440" w:type="dxa"/>
            <w:tcBorders/>
            <w:vAlign w:val="center"/>
          </w:tcPr>
          <w:p>
            <w:pPr>
              <w:pStyle w:val="TableContents"/>
              <w:bidi w:val="0"/>
              <w:spacing w:before="0" w:after="283"/>
              <w:jc w:val="right"/>
              <w:rPr>
                <w:sz w:val="20"/>
              </w:rPr>
            </w:pPr>
            <w:r>
              <w:rPr>
                <w:sz w:val="20"/>
              </w:rPr>
              <w:t>B2-1</w:t>
            </w:r>
          </w:p>
        </w:tc>
      </w:tr>
      <w:tr>
        <w:trPr/>
        <w:tc>
          <w:tcPr>
            <w:tcW w:w="369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right"/>
              <w:rPr/>
            </w:pPr>
            <w:r>
              <w:rPr/>
              <w:t> </w:t>
            </w:r>
          </w:p>
        </w:tc>
      </w:tr>
      <w:tr>
        <w:trPr/>
        <w:tc>
          <w:tcPr>
            <w:tcW w:w="3695" w:type="dxa"/>
            <w:tcBorders/>
            <w:vAlign w:val="center"/>
          </w:tcPr>
          <w:p>
            <w:pPr>
              <w:pStyle w:val="TableContents"/>
              <w:bidi w:val="0"/>
              <w:spacing w:before="0" w:after="283"/>
              <w:jc w:val="both"/>
              <w:rPr>
                <w:sz w:val="20"/>
              </w:rPr>
            </w:pPr>
            <w:r>
              <w:rPr>
                <w:sz w:val="20"/>
              </w:rPr>
              <w:t>Exhibit B-3: Form of Non-Affiliate Legend</w:t>
            </w:r>
          </w:p>
        </w:tc>
        <w:tc>
          <w:tcPr>
            <w:tcW w:w="440" w:type="dxa"/>
            <w:tcBorders/>
            <w:vAlign w:val="center"/>
          </w:tcPr>
          <w:p>
            <w:pPr>
              <w:pStyle w:val="TableContents"/>
              <w:bidi w:val="0"/>
              <w:spacing w:before="0" w:after="283"/>
              <w:jc w:val="right"/>
              <w:rPr>
                <w:sz w:val="20"/>
              </w:rPr>
            </w:pPr>
            <w:r>
              <w:rPr>
                <w:sz w:val="20"/>
              </w:rPr>
              <w:t>B3-1</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dated as of August 13, 2024, between ANI Pharmaceuticals, Inc., a Delaware corporation, as issuer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U.S. Bank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Indenture (as defined below) agrees as follows for the benefit of the other party and for the equal and ratable benefit of the Holders (as defined below) of the Company’s 2.25% Convertible Senior Notes due 2029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   Definitions; Rules of Construction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1.01.   Definitions.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Interest</w:t>
      </w:r>
      <w:r>
        <w:rPr>
          <w:rFonts w:ascii="Times New Roman;Times;Serif" w:hAnsi="Times New Roman;Times;Serif"/>
          <w:b w:val="false"/>
          <w:i w:val="false"/>
          <w:caps w:val="false"/>
          <w:smallCaps w:val="false"/>
          <w:sz w:val="20"/>
        </w:rPr>
        <w:t>” means any interest that accrues on any Note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3.04.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has the meaning set forth in Rule 144 as in effect on the Issue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Denomination</w:t>
      </w:r>
      <w:r>
        <w:rPr>
          <w:rFonts w:ascii="Times New Roman;Times;Serif" w:hAnsi="Times New Roman;Times;Serif"/>
          <w:b w:val="false"/>
          <w:i w:val="false"/>
          <w:caps w:val="false"/>
          <w:smallCaps w:val="false"/>
          <w:sz w:val="20"/>
        </w:rPr>
        <w:t>” means, with respect to a Note, a principal amount thereof equal to $1,000 or any integral multiple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United States Code, or any similar U.S. federal or state or non-U.S.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Bid Solicitation Agent</w:t>
      </w:r>
      <w:r>
        <w:rPr>
          <w:rFonts w:ascii="Times New Roman;Times;Serif" w:hAnsi="Times New Roman;Times;Serif"/>
          <w:b w:val="false"/>
          <w:i w:val="false"/>
          <w:caps w:val="false"/>
          <w:smallCaps w:val="false"/>
          <w:sz w:val="20"/>
        </w:rPr>
        <w:t>” means the Person who is required to obtain bids for the Trading Price in accordance with ‎</w:t>
      </w:r>
      <w:r>
        <w:rPr>
          <w:rFonts w:ascii="Times New Roman;Times;Serif" w:hAnsi="Times New Roman;Times;Serif"/>
          <w:b/>
          <w:i w:val="false"/>
          <w:caps w:val="false"/>
          <w:smallCaps w:val="false"/>
          <w:sz w:val="20"/>
        </w:rPr>
        <w:t>Section 5.01(C)(i)(2</w:t>
      </w:r>
      <w:r>
        <w:rPr>
          <w:rFonts w:ascii="Times New Roman;Times;Serif" w:hAnsi="Times New Roman;Times;Serif"/>
          <w:b w:val="false"/>
          <w:i w:val="false"/>
          <w:caps w:val="false"/>
          <w:smallCaps w:val="false"/>
          <w:sz w:val="20"/>
        </w:rPr>
        <w:t xml:space="preserve">) and the definition of “Trading Price.” The initial Bid Solicitation Agent on the Issue Date will be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appoint any other Person (including any of the Company’s Subsidiaries) to be the Bid Solicitation Agent at any time after the Issue Date without prior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 committee of such board duly authorized to act on behalf of such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any day on which the Federal Reserve Bank of New York is authorized or required by law or executive order to close or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$0.0001 par value per share, of the Company, subject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Person named as such in the first paragraph of this Indenture and, subject to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6,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request or order signed on behalf of the Company by one (1) of its Officers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means, with respect to any Note, the conversion of such note pursuant to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into Conversion Consideration. The terms “Convert,” “Converted,” “Convertible,” “Converting” and similar capitalized terms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means, with respect to a Note, the first Business Day on which the requirements set forth in ‎</w:t>
      </w:r>
      <w:r>
        <w:rPr>
          <w:rFonts w:ascii="Times New Roman;Times;Serif" w:hAnsi="Times New Roman;Times;Serif"/>
          <w:b/>
          <w:i w:val="false"/>
          <w:caps w:val="false"/>
          <w:smallCaps w:val="false"/>
          <w:sz w:val="20"/>
        </w:rPr>
        <w:t>Section 5.02(A</w:t>
      </w:r>
      <w:r>
        <w:rPr>
          <w:rFonts w:ascii="Times New Roman;Times;Serif" w:hAnsi="Times New Roman;Times;Serif"/>
          <w:b w:val="false"/>
          <w:i w:val="false"/>
          <w:caps w:val="false"/>
          <w:smallCaps w:val="false"/>
          <w:sz w:val="20"/>
        </w:rPr>
        <w:t>) to Convert such Note are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means, as of any time, an amount equal to (A) one thousand dollars ($1,000)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Conversion Rate in effect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initially means 13.4929 shares of Common Stock per $1,000 principal amount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Conversion Rate is subject to adjustment pursuant to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whenever this Indenture refers to the Conversion Rate as of a particular date without setting forth a particular time on such date, such reference will be deemed to be to the Conversion Rate immediately after the Close of Business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Share</w:t>
      </w:r>
      <w:r>
        <w:rPr>
          <w:rFonts w:ascii="Times New Roman;Times;Serif" w:hAnsi="Times New Roman;Times;Serif"/>
          <w:b w:val="false"/>
          <w:i w:val="false"/>
          <w:caps w:val="false"/>
          <w:smallCaps w:val="false"/>
          <w:sz w:val="20"/>
        </w:rPr>
        <w:t>” means any share of Common Stock issued or issuable upon Conversion of any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Cash Amount</w:t>
      </w:r>
      <w:r>
        <w:rPr>
          <w:rFonts w:ascii="Times New Roman;Times;Serif" w:hAnsi="Times New Roman;Times;Serif"/>
          <w:b w:val="false"/>
          <w:i w:val="false"/>
          <w:caps w:val="false"/>
          <w:smallCaps w:val="false"/>
          <w:sz w:val="20"/>
        </w:rPr>
        <w:t>” means, with respect to any VWAP Trading Day, the lesser of (A) the applicable Daily Maximum Cash Amount; and (B) the Daily Conversion Value for such VWAP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Conversion Value</w:t>
      </w:r>
      <w:r>
        <w:rPr>
          <w:rFonts w:ascii="Times New Roman;Times;Serif" w:hAnsi="Times New Roman;Times;Serif"/>
          <w:b w:val="false"/>
          <w:i w:val="false"/>
          <w:caps w:val="false"/>
          <w:smallCaps w:val="false"/>
          <w:sz w:val="20"/>
        </w:rPr>
        <w:t>” means, with respect to any VWAP Trading Day, one-sixtieth (1/60th) of the product of (A) the Conversion Rate on such VWAP Trading Day; and (B) the Daily VWAP per share of Common Stock on such VWAP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Maximum Cash Amount</w:t>
      </w:r>
      <w:r>
        <w:rPr>
          <w:rFonts w:ascii="Times New Roman;Times;Serif" w:hAnsi="Times New Roman;Times;Serif"/>
          <w:b w:val="false"/>
          <w:i w:val="false"/>
          <w:caps w:val="false"/>
          <w:smallCaps w:val="false"/>
          <w:sz w:val="20"/>
        </w:rPr>
        <w:t>” means, with respect to the Conversion of any Note, the quotient obtained by dividing (A) the Specified Dollar Amount applicable to such Conversion by (B) sixty (60).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Share Amount</w:t>
      </w:r>
      <w:r>
        <w:rPr>
          <w:rFonts w:ascii="Times New Roman;Times;Serif" w:hAnsi="Times New Roman;Times;Serif"/>
          <w:b w:val="false"/>
          <w:i w:val="false"/>
          <w:caps w:val="false"/>
          <w:smallCaps w:val="false"/>
          <w:sz w:val="20"/>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for any VWAP Trading Day, the per share volume-weighted average price of the Common Stock as displayed under the heading “Bloomberg VWAP” on Bloomberg page “ANIP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De-Legending Deadline Date</w:t>
      </w:r>
      <w:r>
        <w:rPr>
          <w:rFonts w:ascii="Times New Roman;Times;Serif" w:hAnsi="Times New Roman;Times;Serif"/>
          <w:b w:val="false"/>
          <w:i w:val="false"/>
          <w:caps w:val="false"/>
          <w:smallCaps w:val="false"/>
          <w:sz w:val="20"/>
        </w:rPr>
        <w:t xml:space="preserve">” means, with respect to any Note, the fifteenth (15th) day after the Free Trade Date of such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De-Legending Deadline Date determined as aforesaid would be after a Regular Record Date and before the fifth (5th) Business Day immediately after the next Interest Payment Date, then the De-Legending Deadline Date for such Note will instead be the fifth (5th) Business Day immediately after such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Settlement Method</w:t>
      </w:r>
      <w:r>
        <w:rPr>
          <w:rFonts w:ascii="Times New Roman;Times;Serif" w:hAnsi="Times New Roman;Times;Serif"/>
          <w:b w:val="false"/>
          <w:i w:val="false"/>
          <w:caps w:val="false"/>
          <w:smallCaps w:val="false"/>
          <w:sz w:val="20"/>
        </w:rPr>
        <w:t xml:space="preserve">” means Combination Settlement with a Specified Dollar Amount of $1,000 per $1,000 principal amount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(x) subject to ‎</w:t>
      </w:r>
      <w:r>
        <w:rPr>
          <w:rFonts w:ascii="Times New Roman;Times;Serif" w:hAnsi="Times New Roman;Times;Serif"/>
          <w:b/>
          <w:i w:val="false"/>
          <w:caps w:val="false"/>
          <w:smallCaps w:val="false"/>
          <w:sz w:val="20"/>
        </w:rPr>
        <w:t>Section 5.03(A)(iii</w:t>
      </w:r>
      <w:r>
        <w:rPr>
          <w:rFonts w:ascii="Times New Roman;Times;Serif" w:hAnsi="Times New Roman;Times;Serif"/>
          <w:b w:val="false"/>
          <w:i w:val="false"/>
          <w:caps w:val="false"/>
          <w:smallCaps w:val="false"/>
          <w:sz w:val="20"/>
        </w:rPr>
        <w:t>), the Company may, from time to time, change the Default Settlement Method, to any Settlement Method that the Company is then permitted to elect, by sending notice of the new Default Settlement Method to the Holders; and (y) the Default Settlement Method will be subject to ‎</w:t>
      </w:r>
      <w:r>
        <w:rPr>
          <w:rFonts w:ascii="Times New Roman;Times;Serif" w:hAnsi="Times New Roman;Times;Serif"/>
          <w:b/>
          <w:i w:val="false"/>
          <w:caps w:val="false"/>
          <w:smallCaps w:val="false"/>
          <w:sz w:val="20"/>
        </w:rPr>
        <w:t>Section 5.03(A)(ii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The Depository Trust Company or its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 Participant</w:t>
      </w:r>
      <w:r>
        <w:rPr>
          <w:rFonts w:ascii="Times New Roman;Times;Serif" w:hAnsi="Times New Roman;Times;Serif"/>
          <w:b w:val="false"/>
          <w:i w:val="false"/>
          <w:caps w:val="false"/>
          <w:smallCaps w:val="false"/>
          <w:sz w:val="20"/>
        </w:rPr>
        <w:t>” means any member of, or participant in,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 Procedures</w:t>
      </w:r>
      <w:r>
        <w:rPr>
          <w:rFonts w:ascii="Times New Roman;Times;Serif" w:hAnsi="Times New Roman;Times;Serif"/>
          <w:b w:val="false"/>
          <w:i w:val="false"/>
          <w:caps w:val="false"/>
          <w:smallCaps w:val="false"/>
          <w:sz w:val="20"/>
        </w:rPr>
        <w:t>” means, with respect to any Conversion, transfer, exchange or other transaction involving a Global Note or any beneficial interest therein, the rules and procedures of the Depositary applicable to such Conversion, transfer, exchange or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with respect to a stock split or stock combination of the Common Stock, the first date on which the shares of Common Stock trade on the relevant stock exchange, regular way, the relevant stock split or stock combination,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or market in respect of the Common Stock under a separate ticker symbol or CUSIP number will not be considered “regular way” for this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Exempted Fundamental Change</w:t>
      </w:r>
      <w:r>
        <w:rPr>
          <w:rFonts w:ascii="Times New Roman;Times;Serif" w:hAnsi="Times New Roman;Times;Serif"/>
          <w:b w:val="false"/>
          <w:i w:val="false"/>
          <w:caps w:val="false"/>
          <w:smallCaps w:val="false"/>
          <w:sz w:val="20"/>
        </w:rPr>
        <w:t>” means any Fundamental Change with respect to which, in accordance with ‎</w:t>
      </w:r>
      <w:r>
        <w:rPr>
          <w:rFonts w:ascii="Times New Roman;Times;Serif" w:hAnsi="Times New Roman;Times;Serif"/>
          <w:b/>
          <w:i w:val="false"/>
          <w:caps w:val="false"/>
          <w:smallCaps w:val="false"/>
          <w:sz w:val="20"/>
        </w:rPr>
        <w:t>Section 4.02(I</w:t>
      </w:r>
      <w:r>
        <w:rPr>
          <w:rFonts w:ascii="Times New Roman;Times;Serif" w:hAnsi="Times New Roman;Times;Serif"/>
          <w:b w:val="false"/>
          <w:i w:val="false"/>
          <w:caps w:val="false"/>
          <w:smallCaps w:val="false"/>
          <w:sz w:val="20"/>
        </w:rPr>
        <w:t>), the Company does not offer to repurchase any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Free Trade Date</w:t>
      </w:r>
      <w:r>
        <w:rPr>
          <w:rFonts w:ascii="Times New Roman;Times;Serif" w:hAnsi="Times New Roman;Times;Serif"/>
          <w:b w:val="false"/>
          <w:i w:val="false"/>
          <w:caps w:val="false"/>
          <w:smallCaps w:val="false"/>
          <w:sz w:val="20"/>
        </w:rPr>
        <w:t>” means, with respect to any Note, the date that is one (1) year after the Last Original Issue Date of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Freely Tradable</w:t>
      </w:r>
      <w:r>
        <w:rPr>
          <w:rFonts w:ascii="Times New Roman;Times;Serif" w:hAnsi="Times New Roman;Times;Serif"/>
          <w:b w:val="false"/>
          <w:i w:val="false"/>
          <w:caps w:val="false"/>
          <w:smallCaps w:val="false"/>
          <w:sz w:val="20"/>
        </w:rPr>
        <w:t xml:space="preserve">” means, with respect to any Note, that such Note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from and after the Free Trade Date of such Note, such Note will not be “Freely Tradable” unless such Note (x) is not identified by a “restricted” CUSIP or ISIN number; and (y) is not represented by any certificate that bears the Restricted Note Legend. For the avoidance of doubt, whether a Note is deemed to be identified by a “restricted” CUSIP or ISIN number or to bear the Restricted Note Legend is subject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means any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13(d)(3) of the Exchange Act), other than the Company or its Wholly Owned Subsidiaries, or their respective employee benefit plans, files any report with the SEC indicating that such person or group has become the direct or indirect “beneficial owner” (as defined below) of shares of the Common Stock representing more than fifty percent (50%) of the voting power of all of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pursuant to this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Company’s stockholders approve any plan or proposal for the liquidation or dissolution of the Company;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Common Stock ceases to be listed on any of the New York Stock Exchange, the Nasdaq Global Market or the Nasdaq Global Select Market (or any of their respective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transaction or event described in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definition, (x) any transaction or event described in both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(B)(i)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above (without regard to the proviso in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will be deemed to occur solely pursuant to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above (subject to such proviso); and (y) whether a Person is a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whether shares are “</w:t>
      </w:r>
      <w:r>
        <w:rPr>
          <w:rFonts w:ascii="Times New Roman;Times;Serif" w:hAnsi="Times New Roman;Times;Serif"/>
          <w:b/>
          <w:i w:val="false"/>
          <w:caps w:val="false"/>
          <w:smallCaps w:val="false"/>
          <w:sz w:val="20"/>
        </w:rPr>
        <w:t>beneficially owned</w:t>
      </w:r>
      <w:r>
        <w:rPr>
          <w:rFonts w:ascii="Times New Roman;Times;Serif" w:hAnsi="Times New Roman;Times;Serif"/>
          <w:b w:val="false"/>
          <w:i w:val="false"/>
          <w:caps w:val="false"/>
          <w:smallCaps w:val="false"/>
          <w:sz w:val="20"/>
        </w:rPr>
        <w:t>,” and percentage beneficial ownership, will be determined in accordance with Rule 13d-3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references to the “Common Stock” and the Company’s “Common Equity” in this definition will be subject to ‎</w:t>
      </w:r>
      <w:r>
        <w:rPr>
          <w:rFonts w:ascii="Times New Roman;Times;Serif" w:hAnsi="Times New Roman;Times;Serif"/>
          <w:b/>
          <w:i w:val="false"/>
          <w:caps w:val="false"/>
          <w:smallCaps w:val="false"/>
          <w:sz w:val="20"/>
        </w:rPr>
        <w:t>Section 5.09(A</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means the date fixed for the repurchase of any Notes by the Company pursuant to a Repurchase Upon Fundamental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xml:space="preserve">” means a notice (including a notice substantially in the form of the “Fundamental Change Repurchase Notice”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containing the information, or otherwise complying with the requirements, set forth in ‎</w:t>
      </w:r>
      <w:r>
        <w:rPr>
          <w:rFonts w:ascii="Times New Roman;Times;Serif" w:hAnsi="Times New Roman;Times;Serif"/>
          <w:b/>
          <w:i w:val="false"/>
          <w:caps w:val="false"/>
          <w:smallCaps w:val="false"/>
          <w:sz w:val="20"/>
        </w:rPr>
        <w:t>Section 4.02(F)(i</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Section 4.02(F)(ii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means the cash price payable by the Company to repurchase any Note upon its Repurchase Upon Fundamental Change, calculated pursuant to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xml:space="preserve">” means a Note that is represented by a certificate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registered in the name of the Depositary or its nominee, duly executed by the Company and authenticated by the Trustee, and deposited with the Trustee, as custodian for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 person in whose name a Note is registered on the Registrar’s books.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amended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Purchasers</w:t>
      </w:r>
      <w:r>
        <w:rPr>
          <w:rFonts w:ascii="Times New Roman;Times;Serif" w:hAnsi="Times New Roman;Times;Serif"/>
          <w:b w:val="false"/>
          <w:i w:val="false"/>
          <w:caps w:val="false"/>
          <w:smallCaps w:val="false"/>
          <w:sz w:val="20"/>
        </w:rPr>
        <w:t>” means the several initial purchasers listed in Schedule 1 to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with respect to a Note, each March 1 and September 1 of each year, commencing on March 1, 2025 (or commencing on such other date specified in the certificate representing such Note). For the avoidance of doubt, the Maturity Date is an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means August 13,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Last Original Issue Date</w:t>
      </w:r>
      <w:r>
        <w:rPr>
          <w:rFonts w:ascii="Times New Roman;Times;Serif" w:hAnsi="Times New Roman;Times;Serif"/>
          <w:b w:val="false"/>
          <w:i w:val="false"/>
          <w:caps w:val="false"/>
          <w:smallCaps w:val="false"/>
          <w:sz w:val="20"/>
        </w:rPr>
        <w:t>”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Times New Roman;Times;Serif" w:hAnsi="Times New Roman;Times;Serif"/>
          <w:b/>
          <w:i w:val="false"/>
          <w:caps w:val="false"/>
          <w:smallCaps w:val="false"/>
          <w:sz w:val="20"/>
        </w:rPr>
        <w:t>Section 2.03(B</w:t>
      </w:r>
      <w:r>
        <w:rPr>
          <w:rFonts w:ascii="Times New Roman;Times;Serif" w:hAnsi="Times New Roman;Times;Serif"/>
          <w:b w:val="false"/>
          <w:i w:val="false"/>
          <w:caps w:val="false"/>
          <w:smallCaps w:val="false"/>
          <w:sz w:val="20"/>
        </w:rPr>
        <w:t>),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Initial Purchasers. Neither the Trustee nor the Conversion Agent will have any duty to determine the Last Reported Sale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w:t>
      </w:r>
      <w:r>
        <w:rPr>
          <w:rFonts w:ascii="Times New Roman;Times;Serif" w:hAnsi="Times New Roman;Times;Serif"/>
          <w:b w:val="false"/>
          <w:i w:val="false"/>
          <w:caps w:val="false"/>
          <w:smallCaps w:val="false"/>
          <w:sz w:val="20"/>
        </w:rPr>
        <w:t xml:space="preserve">” means (A) a Fundamental Change (determined after giving effect to the proviso immediately after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of the definition thereof, but without regard to the proviso to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(B)(ii)</w:t>
      </w:r>
      <w:r>
        <w:rPr>
          <w:rFonts w:ascii="Times New Roman;Times;Serif" w:hAnsi="Times New Roman;Times;Serif"/>
          <w:b w:val="false"/>
          <w:i w:val="false"/>
          <w:caps w:val="false"/>
          <w:smallCaps w:val="false"/>
          <w:sz w:val="20"/>
        </w:rPr>
        <w:t xml:space="preserve"> of such definition); or (B) the sending of a Redemption Notice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subject to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sending of a Redemption Notice will constitute a Make-Whole Fundamental Change only with respect to the Notes called for Redemption pursuant to such Redemption Notice and not with respect to any other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Conversion Period</w:t>
      </w:r>
      <w:r>
        <w:rPr>
          <w:rFonts w:ascii="Times New Roman;Times;Serif" w:hAnsi="Times New Roman;Times;Serif"/>
          <w:b w:val="false"/>
          <w:i w:val="false"/>
          <w:caps w:val="false"/>
          <w:smallCaps w:val="false"/>
          <w:sz w:val="20"/>
        </w:rPr>
        <w:t>” has the following meaning: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case of a Make-Whole Fundamental Change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 the period from, and including, the Redemption Notice Date for the related Redemption to, and including, the second (2nd) Business Day immediately before the related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Conversion Date for the Conversion of a Note that has been called for Redemption occurs during the Make-Whole Fundamental Change Conversion Period for both a Make-Whole Fundamental Change occurring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of “Make-Whole Fundamental Change” and a Make-Whole Fundamental Change resulting from such Redemption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such definition, then, notwithstanding anything to the contrary in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5.07,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Effective Date</w:t>
      </w:r>
      <w:r>
        <w:rPr>
          <w:rFonts w:ascii="Times New Roman;Times;Serif" w:hAnsi="Times New Roman;Times;Serif"/>
          <w:b w:val="false"/>
          <w:i w:val="false"/>
          <w:caps w:val="false"/>
          <w:smallCaps w:val="false"/>
          <w:sz w:val="20"/>
        </w:rPr>
        <w:t xml:space="preserve">” means (A) with respect to a Make-Whole Fundamental Change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thereof, the date on which such Make-Whole Fundamental Change occurs or becomes effective; and (B) with respect to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 the applicable Redemption Notice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September 1,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Non-Affiliate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Agent</w:t>
      </w:r>
      <w:r>
        <w:rPr>
          <w:rFonts w:ascii="Times New Roman;Times;Serif" w:hAnsi="Times New Roman;Times;Serif"/>
          <w:b w:val="false"/>
          <w:i w:val="false"/>
          <w:caps w:val="false"/>
          <w:smallCaps w:val="false"/>
          <w:sz w:val="20"/>
        </w:rPr>
        <w:t>” means any Registrar, Paying Agent or Conversion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has the meaning set forth in the second paragraph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Observation Period</w:t>
      </w:r>
      <w:r>
        <w:rPr>
          <w:rFonts w:ascii="Times New Roman;Times;Serif" w:hAnsi="Times New Roman;Times;Serif"/>
          <w:b w:val="false"/>
          <w:i w:val="false"/>
          <w:caps w:val="false"/>
          <w:smallCaps w:val="false"/>
          <w:sz w:val="20"/>
        </w:rPr>
        <w:t xml:space="preserve">” means, with respect to any Note to be Converted, (A)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below, if the Conversion Date for such Note occurs before June 1, 2029, the sixty (60) consecutive VWAP Trading Days beginning on, and including, the second (2nd) VWAP Trading Day immediately after such Conversion Date; (B) if such Conversion Date occurs on or after the date the Company has sent a Redemption Notice calling all or any Notes for Redemption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and on or before the second (2nd) Business Day before the related Redemption Date, the sixty (60) consecutive VWAP Trading Days beginning on, and including, the sixty first (61st) Scheduled Trading Day immediately before such Redemption Date; and (C)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above, if such Conversion Date occurs on or after June 1, 2029, the sixty (60) consecutive VWAP Trading Days beginning on, and including, the sixty first (61st) Scheduled Trading Day immediately before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the Chairman of the Board of Directors, the Chief Executive Officer, the President, the Chief Operating Officer, the Chief Financial Officer, the Treasurer, any Assistant Treasurer, the Controller, the Secretary or any Vice-President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that is signed on behalf of the Company by one (1) of its Officers and that meets the requirements of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11.03.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from legal counsel (including an employee of, or counsel to, the Company or any of its Subsidiaries) reasonably acceptable to the Trustee, that meets the requirements of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11.03, subject to customary qualifications and exclusions.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Physical Note</w:t>
      </w:r>
      <w:r>
        <w:rPr>
          <w:rFonts w:ascii="Times New Roman;Times;Serif" w:hAnsi="Times New Roman;Times;Serif"/>
          <w:b w:val="false"/>
          <w:i w:val="false"/>
          <w:caps w:val="false"/>
          <w:smallCaps w:val="false"/>
          <w:sz w:val="20"/>
        </w:rPr>
        <w:t xml:space="preserve">” means a Note (other than a Global Note) that is represented by a certificate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registered in the name of the Holder of such Note and duly executed by the Company and authenticated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means that certain Purchase Agreement, dated August 7, 2024, between the Company and J.P. Morgan Securities LLC, as the representative of the Initial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Successor Entity</w:t>
      </w:r>
      <w:r>
        <w:rPr>
          <w:rFonts w:ascii="Times New Roman;Times;Serif" w:hAnsi="Times New Roman;Times;Serif"/>
          <w:b w:val="false"/>
          <w:i w:val="false"/>
          <w:caps w:val="false"/>
          <w:smallCaps w:val="false"/>
          <w:sz w:val="20"/>
        </w:rPr>
        <w:t xml:space="preserve">” means, with respect to a Business Combination Event, a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limited liability company, limited partnership or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entity will also constitute a Qualified Successor Entity with respect to such Business Combination Event if either (A) such Business Combination Event is an Exempted Fundamental Change; or (B) both of the following conditions are satisfied: (i) either (x)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(y) the Company has received an opinion of a nationally recognized tax counsel to the effect that such Business Combination Event will not be treated as an exchange under Section 1001 of the Internal Revenue Code of 1986, as amended, for Holders or beneficial owners of the Notes; and (ii) such Business Combination Event constitutes a Common Stock Change Event whose Reference Property consists solely of any combination of cash in U.S. dollars and shares of common stock or other corporate Common Equity interests of an entity that is (x) treated as a corporation for U.S. federal income tax purposes; (y) duly organized and existing under the laws of the United States of America, any State thereof or the District of Columbia; and (z) a direct or indirect parent of such limited liability company, limited partnership or similar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w:t>
      </w:r>
      <w:r>
        <w:rPr>
          <w:rFonts w:ascii="Times New Roman;Times;Serif" w:hAnsi="Times New Roman;Times;Serif"/>
          <w:b w:val="false"/>
          <w:i w:val="false"/>
          <w:caps w:val="false"/>
          <w:smallCaps w:val="false"/>
          <w:sz w:val="20"/>
        </w:rPr>
        <w:t>” means the repurchase of any Note by the Company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means the date fixed, pursuant to ‎</w:t>
      </w:r>
      <w:r>
        <w:rPr>
          <w:rFonts w:ascii="Times New Roman;Times;Serif" w:hAnsi="Times New Roman;Times;Serif"/>
          <w:b/>
          <w:i w:val="false"/>
          <w:caps w:val="false"/>
          <w:smallCaps w:val="false"/>
          <w:sz w:val="20"/>
        </w:rPr>
        <w:t>Section 4.03(D</w:t>
      </w:r>
      <w:r>
        <w:rPr>
          <w:rFonts w:ascii="Times New Roman;Times;Serif" w:hAnsi="Times New Roman;Times;Serif"/>
          <w:b w:val="false"/>
          <w:i w:val="false"/>
          <w:caps w:val="false"/>
          <w:smallCaps w:val="false"/>
          <w:sz w:val="20"/>
        </w:rPr>
        <w:t>), for the settlement of the repurchase of any Notes by the Company pursuant to a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Notice Date</w:t>
      </w:r>
      <w:r>
        <w:rPr>
          <w:rFonts w:ascii="Times New Roman;Times;Serif" w:hAnsi="Times New Roman;Times;Serif"/>
          <w:b w:val="false"/>
          <w:i w:val="false"/>
          <w:caps w:val="false"/>
          <w:smallCaps w:val="false"/>
          <w:sz w:val="20"/>
        </w:rPr>
        <w:t>” means, with respect to a Redemption, the date on which the Company sends the Redemption Notice for such Redemption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means the cash price payable by the Company to redeem any Note upon its Redemption, calculated pursuant to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has the following meaning with respect to an Interest Payment Date: (A) if such Interest Payment Date occurs on March 1, the immediately preceding February 15; and (B) if such Interest Payment Date occurs on September 1, the immediately preceding August 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Repurchase Upon Fundamental Change</w:t>
      </w:r>
      <w:r>
        <w:rPr>
          <w:rFonts w:ascii="Times New Roman;Times;Serif" w:hAnsi="Times New Roman;Times;Serif"/>
          <w:b w:val="false"/>
          <w:i w:val="false"/>
          <w:caps w:val="false"/>
          <w:smallCaps w:val="false"/>
          <w:sz w:val="20"/>
        </w:rPr>
        <w:t>” means the repurchase of any Note by the Company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(A) any officer within the Corporate Trust Administration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relating to this Indenture is referred because of his or her knowledge of, and familiarity with, the particular subject, and who, in each case has direct responsibility for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Note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Stock Legend</w:t>
      </w:r>
      <w:r>
        <w:rPr>
          <w:rFonts w:ascii="Times New Roman;Times;Serif" w:hAnsi="Times New Roman;Times;Serif"/>
          <w:b w:val="false"/>
          <w:i w:val="false"/>
          <w:caps w:val="false"/>
          <w:smallCaps w:val="false"/>
          <w:sz w:val="20"/>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under the Securities Act (or any successor rule thereto), as the same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means Rule 144A under the Securities Act (or any successor rule thereto), as the same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means any Note or Conversion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Method</w:t>
      </w:r>
      <w:r>
        <w:rPr>
          <w:rFonts w:ascii="Times New Roman;Times;Serif" w:hAnsi="Times New Roman;Times;Serif"/>
          <w:b w:val="false"/>
          <w:i w:val="false"/>
          <w:caps w:val="false"/>
          <w:smallCaps w:val="false"/>
          <w:sz w:val="20"/>
        </w:rPr>
        <w:t>” means Cash Settlement or Combination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Shoe Option</w:t>
      </w:r>
      <w:r>
        <w:rPr>
          <w:rFonts w:ascii="Times New Roman;Times;Serif" w:hAnsi="Times New Roman;Times;Serif"/>
          <w:b w:val="false"/>
          <w:i w:val="false"/>
          <w:caps w:val="false"/>
          <w:smallCaps w:val="false"/>
          <w:sz w:val="20"/>
        </w:rPr>
        <w:t>” means the Initial Purchasers’ option to purchase up to forty one million two hundred fifty thousand dollars ($41,250,000) aggregate principal amount of additional Notes as provided for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xml:space="preserve">” means, with respect to any Person, any Subsidiary of such Person that constitutes a “significant subsidiary” (as defined in Rule 1-02(w) of Regulation S-X under the Exchange Act) of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 Subsidiary meets the criteria of clause (1)(iii), but not clause (1)(i) or (1)(ii), of the definition of “significant subsidiary” in Rule 1-02(w) (or, if applicable, the respective successor clauses to the aforementioned clauses), then such Subsidiary will be deemed not to be a Significant Subsidiary unless such Subsidiary’s income from continuing operations before income taxes, exclusive of amounts attributable to any non-controlling interests, for the last completed fiscal year before the date of determination exceeds twenty-five million dollars ($25,000,000).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Special Interest</w:t>
      </w:r>
      <w:r>
        <w:rPr>
          <w:rFonts w:ascii="Times New Roman;Times;Serif" w:hAnsi="Times New Roman;Times;Serif"/>
          <w:b w:val="false"/>
          <w:i w:val="false"/>
          <w:caps w:val="false"/>
          <w:smallCaps w:val="false"/>
          <w:sz w:val="20"/>
        </w:rPr>
        <w:t>” means any interest that accrues on any Note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7.03.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Dollar Amount</w:t>
      </w:r>
      <w:r>
        <w:rPr>
          <w:rFonts w:ascii="Times New Roman;Times;Serif" w:hAnsi="Times New Roman;Times;Serif"/>
          <w:b w:val="false"/>
          <w:i w:val="false"/>
          <w:caps w:val="false"/>
          <w:smallCaps w:val="false"/>
          <w:sz w:val="20"/>
        </w:rPr>
        <w:t>” means, with respect to the Conversion of a Note to which Combination Settlement applies, the maximum cash amount per $1,000 principal amount of such Note deliverable upon such Conversion (excluding cash in lieu of any fractional share of Common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will the Specified Dollar Amount be less than $1,000 per $1,000 principal amount of such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 Price</w:t>
      </w:r>
      <w:r>
        <w:rPr>
          <w:rFonts w:ascii="Times New Roman;Times;Serif" w:hAnsi="Times New Roman;Times;Serif"/>
          <w:b w:val="false"/>
          <w:i w:val="false"/>
          <w:caps w:val="false"/>
          <w:smallCaps w:val="false"/>
          <w:sz w:val="20"/>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Price</w:t>
      </w:r>
      <w:r>
        <w:rPr>
          <w:rFonts w:ascii="Times New Roman;Times;Serif" w:hAnsi="Times New Roman;Times;Serif"/>
          <w:b w:val="false"/>
          <w:i w:val="false"/>
          <w:caps w:val="false"/>
          <w:smallCaps w:val="false"/>
          <w:sz w:val="20"/>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Transfer-Restricted Security</w:t>
      </w:r>
      <w:r>
        <w:rPr>
          <w:rFonts w:ascii="Times New Roman;Times;Serif" w:hAnsi="Times New Roman;Times;Serif"/>
          <w:b w:val="false"/>
          <w:i w:val="false"/>
          <w:caps w:val="false"/>
          <w:smallCaps w:val="false"/>
          <w:sz w:val="20"/>
        </w:rPr>
        <w:t xml:space="preserve">” means any Security that constitutes a “restricted security” (as defined in Rule 144);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Security will cease to be a Transfer-Restricted Security upon the earliest to occur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Security is sold or otherwise transferred to a Person (other than the Company or an Affiliate of the Company) pursuant to a registration statement that was effective under the Securities Act at the time of such sale or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under no obligation to determine whether any Security is a Transfer-Restricted Security and may conclusively rely on an Officer’s Certificate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U.S. Trust Indenture Act of 1939,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such in the first paragraph of this Indenture until a successor replaces it in accordance with the provisions of this Indenture and, thereafter, means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 Market Disruption Event</w:t>
      </w:r>
      <w:r>
        <w:rPr>
          <w:rFonts w:ascii="Times New Roman;Times;Serif" w:hAnsi="Times New Roman;Times;Serif"/>
          <w:b w:val="false"/>
          <w:i w:val="false"/>
          <w:caps w:val="false"/>
          <w:smallCaps w:val="false"/>
          <w:sz w:val="20"/>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 Trading Day</w:t>
      </w:r>
      <w:r>
        <w:rPr>
          <w:rFonts w:ascii="Times New Roman;Times;Serif" w:hAnsi="Times New Roman;Times;Serif"/>
          <w:b w:val="false"/>
          <w:i w:val="false"/>
          <w:caps w:val="false"/>
          <w:smallCaps w:val="false"/>
          <w:sz w:val="20"/>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of a Person means any Subsidiary of such Person all of the outstanding Capital Stock or other ownership interests of which (other than directors’ qualifying shares) are owned by such Person or one or more Wholly Owned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1.02.   Other Definitions.</w:t>
      </w:r>
    </w:p>
    <w:p>
      <w:pPr>
        <w:pStyle w:val="TextBody"/>
        <w:bidi w:val="0"/>
        <w:spacing w:before="0" w:after="0"/>
        <w:ind w:left="0" w:right="0" w:hanging="0"/>
        <w:jc w:val="both"/>
        <w:rPr>
          <w:smallCaps/>
        </w:rPr>
      </w:pPr>
      <w:r>
        <w:rPr>
          <w:smallCaps/>
        </w:rPr>
        <w:t> </w:t>
      </w:r>
    </w:p>
    <w:tbl>
      <w:tblPr>
        <w:tblW w:w="2125" w:type="dxa"/>
        <w:jc w:val="left"/>
        <w:tblInd w:w="0" w:type="dxa"/>
        <w:tblLayout w:type="fixed"/>
        <w:tblCellMar>
          <w:top w:w="0" w:type="dxa"/>
          <w:left w:w="0" w:type="dxa"/>
          <w:bottom w:w="0" w:type="dxa"/>
          <w:right w:w="0" w:type="dxa"/>
        </w:tblCellMar>
      </w:tblPr>
      <w:tblGrid>
        <w:gridCol w:w="515"/>
        <w:gridCol w:w="1610"/>
      </w:tblGrid>
      <w:tr>
        <w:trPr/>
        <w:tc>
          <w:tcPr>
            <w:tcW w:w="515"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16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in Section</w:t>
            </w:r>
          </w:p>
        </w:tc>
      </w:tr>
    </w:tbl>
    <w:tbl>
      <w:tblPr>
        <w:tblW w:w="6040" w:type="dxa"/>
        <w:jc w:val="left"/>
        <w:tblInd w:w="0" w:type="dxa"/>
        <w:tblLayout w:type="fixed"/>
        <w:tblCellMar>
          <w:top w:w="30" w:type="dxa"/>
          <w:left w:w="30" w:type="dxa"/>
          <w:bottom w:w="30" w:type="dxa"/>
          <w:right w:w="30" w:type="dxa"/>
        </w:tblCellMar>
      </w:tblPr>
      <w:tblGrid>
        <w:gridCol w:w="4805"/>
        <w:gridCol w:w="1235"/>
      </w:tblGrid>
      <w:tr>
        <w:trPr/>
        <w:tc>
          <w:tcPr>
            <w:tcW w:w="4805" w:type="dxa"/>
            <w:tcBorders/>
            <w:vAlign w:val="center"/>
          </w:tcPr>
          <w:p>
            <w:pPr>
              <w:pStyle w:val="TableContents"/>
              <w:bidi w:val="0"/>
              <w:spacing w:before="0" w:after="283"/>
              <w:jc w:val="both"/>
              <w:rPr/>
            </w:pPr>
            <w:r>
              <w:rPr/>
              <w:t>“</w:t>
            </w:r>
            <w:r>
              <w:rPr>
                <w:b/>
                <w:sz w:val="20"/>
              </w:rPr>
              <w:t>Additional Shares</w:t>
            </w:r>
            <w:r>
              <w:rPr>
                <w:sz w:val="20"/>
              </w:rPr>
              <w:t>”</w:t>
            </w:r>
          </w:p>
        </w:tc>
        <w:tc>
          <w:tcPr>
            <w:tcW w:w="1235" w:type="dxa"/>
            <w:tcBorders/>
            <w:vAlign w:val="center"/>
          </w:tcPr>
          <w:p>
            <w:pPr>
              <w:pStyle w:val="TableContents"/>
              <w:bidi w:val="0"/>
              <w:spacing w:before="0" w:after="283"/>
              <w:jc w:val="right"/>
              <w:rPr/>
            </w:pPr>
            <w:r>
              <w:rPr/>
              <w:t>‎</w:t>
            </w:r>
            <w:r>
              <w:rPr>
                <w:b/>
                <w:sz w:val="20"/>
              </w:rPr>
              <w:t>5.07(A</w:t>
            </w:r>
            <w:r>
              <w:rPr>
                <w:sz w:val="20"/>
              </w:rPr>
              <w:t>)</w:t>
            </w:r>
          </w:p>
        </w:tc>
      </w:tr>
      <w:tr>
        <w:trPr/>
        <w:tc>
          <w:tcPr>
            <w:tcW w:w="4805" w:type="dxa"/>
            <w:tcBorders/>
            <w:vAlign w:val="center"/>
          </w:tcPr>
          <w:p>
            <w:pPr>
              <w:pStyle w:val="TableContents"/>
              <w:bidi w:val="0"/>
              <w:spacing w:before="0" w:after="283"/>
              <w:jc w:val="both"/>
              <w:rPr/>
            </w:pPr>
            <w:r>
              <w:rPr/>
              <w:t>“</w:t>
            </w:r>
            <w:r>
              <w:rPr>
                <w:b/>
                <w:sz w:val="20"/>
              </w:rPr>
              <w:t>Business Combination Event</w:t>
            </w:r>
            <w:r>
              <w:rPr>
                <w:sz w:val="20"/>
              </w:rPr>
              <w:t>”</w:t>
            </w:r>
          </w:p>
        </w:tc>
        <w:tc>
          <w:tcPr>
            <w:tcW w:w="1235" w:type="dxa"/>
            <w:tcBorders/>
            <w:vAlign w:val="center"/>
          </w:tcPr>
          <w:p>
            <w:pPr>
              <w:pStyle w:val="TableContents"/>
              <w:bidi w:val="0"/>
              <w:spacing w:before="0" w:after="283"/>
              <w:jc w:val="right"/>
              <w:rPr/>
            </w:pPr>
            <w:r>
              <w:rPr/>
              <w:t>‎</w:t>
            </w:r>
            <w:r>
              <w:rPr>
                <w:b/>
                <w:sz w:val="20"/>
              </w:rPr>
              <w:t>6.01(A</w:t>
            </w:r>
            <w:r>
              <w:rPr>
                <w:sz w:val="20"/>
              </w:rPr>
              <w:t>)</w:t>
            </w:r>
          </w:p>
        </w:tc>
      </w:tr>
      <w:tr>
        <w:trPr/>
        <w:tc>
          <w:tcPr>
            <w:tcW w:w="4805" w:type="dxa"/>
            <w:tcBorders/>
            <w:vAlign w:val="center"/>
          </w:tcPr>
          <w:p>
            <w:pPr>
              <w:pStyle w:val="TableContents"/>
              <w:bidi w:val="0"/>
              <w:spacing w:before="0" w:after="283"/>
              <w:jc w:val="both"/>
              <w:rPr/>
            </w:pPr>
            <w:r>
              <w:rPr/>
              <w:t>“</w:t>
            </w:r>
            <w:r>
              <w:rPr>
                <w:b/>
                <w:sz w:val="20"/>
              </w:rPr>
              <w:t>Cash Settlement</w:t>
            </w:r>
            <w:r>
              <w:rPr>
                <w:sz w:val="20"/>
              </w:rPr>
              <w:t>”</w:t>
            </w:r>
          </w:p>
        </w:tc>
        <w:tc>
          <w:tcPr>
            <w:tcW w:w="1235" w:type="dxa"/>
            <w:tcBorders/>
            <w:vAlign w:val="center"/>
          </w:tcPr>
          <w:p>
            <w:pPr>
              <w:pStyle w:val="TableContents"/>
              <w:bidi w:val="0"/>
              <w:spacing w:before="0" w:after="283"/>
              <w:jc w:val="right"/>
              <w:rPr/>
            </w:pPr>
            <w:r>
              <w:rPr/>
              <w:t>‎</w:t>
            </w:r>
            <w:r>
              <w:rPr>
                <w:b/>
                <w:sz w:val="20"/>
              </w:rPr>
              <w:t>5.03(A</w:t>
            </w:r>
            <w:r>
              <w:rPr>
                <w:sz w:val="20"/>
              </w:rPr>
              <w:t>)</w:t>
            </w:r>
          </w:p>
        </w:tc>
      </w:tr>
      <w:tr>
        <w:trPr/>
        <w:tc>
          <w:tcPr>
            <w:tcW w:w="4805" w:type="dxa"/>
            <w:tcBorders/>
            <w:vAlign w:val="center"/>
          </w:tcPr>
          <w:p>
            <w:pPr>
              <w:pStyle w:val="TableContents"/>
              <w:bidi w:val="0"/>
              <w:spacing w:before="0" w:after="283"/>
              <w:jc w:val="both"/>
              <w:rPr/>
            </w:pPr>
            <w:r>
              <w:rPr/>
              <w:t>“</w:t>
            </w:r>
            <w:r>
              <w:rPr>
                <w:b/>
                <w:sz w:val="20"/>
              </w:rPr>
              <w:t>Combination Settlement</w:t>
            </w:r>
            <w:r>
              <w:rPr>
                <w:sz w:val="20"/>
              </w:rPr>
              <w:t>”</w:t>
            </w:r>
          </w:p>
        </w:tc>
        <w:tc>
          <w:tcPr>
            <w:tcW w:w="1235" w:type="dxa"/>
            <w:tcBorders/>
            <w:vAlign w:val="center"/>
          </w:tcPr>
          <w:p>
            <w:pPr>
              <w:pStyle w:val="TableContents"/>
              <w:bidi w:val="0"/>
              <w:spacing w:before="0" w:after="283"/>
              <w:jc w:val="right"/>
              <w:rPr/>
            </w:pPr>
            <w:r>
              <w:rPr/>
              <w:t>‎</w:t>
            </w:r>
            <w:r>
              <w:rPr>
                <w:b/>
                <w:sz w:val="20"/>
              </w:rPr>
              <w:t>5.03(A</w:t>
            </w:r>
            <w:r>
              <w:rPr>
                <w:sz w:val="20"/>
              </w:rPr>
              <w:t>)</w:t>
            </w:r>
          </w:p>
        </w:tc>
      </w:tr>
      <w:tr>
        <w:trPr/>
        <w:tc>
          <w:tcPr>
            <w:tcW w:w="4805" w:type="dxa"/>
            <w:tcBorders/>
            <w:vAlign w:val="center"/>
          </w:tcPr>
          <w:p>
            <w:pPr>
              <w:pStyle w:val="TableContents"/>
              <w:bidi w:val="0"/>
              <w:spacing w:before="0" w:after="283"/>
              <w:jc w:val="both"/>
              <w:rPr/>
            </w:pPr>
            <w:r>
              <w:rPr/>
              <w:t>“</w:t>
            </w:r>
            <w:r>
              <w:rPr>
                <w:b/>
                <w:sz w:val="20"/>
              </w:rPr>
              <w:t>Common Stock Change Event</w:t>
            </w:r>
            <w:r>
              <w:rPr>
                <w:sz w:val="20"/>
              </w:rPr>
              <w:t>”</w:t>
            </w:r>
          </w:p>
        </w:tc>
        <w:tc>
          <w:tcPr>
            <w:tcW w:w="1235" w:type="dxa"/>
            <w:tcBorders/>
            <w:vAlign w:val="center"/>
          </w:tcPr>
          <w:p>
            <w:pPr>
              <w:pStyle w:val="TableContents"/>
              <w:bidi w:val="0"/>
              <w:spacing w:before="0" w:after="283"/>
              <w:jc w:val="right"/>
              <w:rPr/>
            </w:pPr>
            <w:r>
              <w:rPr/>
              <w:t>‎</w:t>
            </w:r>
            <w:r>
              <w:rPr>
                <w:b/>
                <w:sz w:val="20"/>
              </w:rPr>
              <w:t>5.09(A</w:t>
            </w:r>
            <w:r>
              <w:rPr>
                <w:sz w:val="20"/>
              </w:rPr>
              <w:t>)</w:t>
            </w:r>
          </w:p>
        </w:tc>
      </w:tr>
      <w:tr>
        <w:trPr/>
        <w:tc>
          <w:tcPr>
            <w:tcW w:w="4805" w:type="dxa"/>
            <w:tcBorders/>
            <w:vAlign w:val="center"/>
          </w:tcPr>
          <w:p>
            <w:pPr>
              <w:pStyle w:val="TableContents"/>
              <w:bidi w:val="0"/>
              <w:spacing w:before="0" w:after="283"/>
              <w:jc w:val="both"/>
              <w:rPr/>
            </w:pPr>
            <w:r>
              <w:rPr/>
              <w:t>“</w:t>
            </w:r>
            <w:r>
              <w:rPr>
                <w:b/>
                <w:sz w:val="20"/>
              </w:rPr>
              <w:t>Conversion Agent</w:t>
            </w:r>
            <w:r>
              <w:rPr>
                <w:sz w:val="20"/>
              </w:rPr>
              <w:t>”</w:t>
            </w:r>
          </w:p>
        </w:tc>
        <w:tc>
          <w:tcPr>
            <w:tcW w:w="1235" w:type="dxa"/>
            <w:tcBorders/>
            <w:vAlign w:val="center"/>
          </w:tcPr>
          <w:p>
            <w:pPr>
              <w:pStyle w:val="TableContents"/>
              <w:bidi w:val="0"/>
              <w:spacing w:before="0" w:after="283"/>
              <w:jc w:val="right"/>
              <w:rPr/>
            </w:pPr>
            <w:r>
              <w:rPr/>
              <w:t>‎</w:t>
            </w:r>
            <w:r>
              <w:rPr>
                <w:b/>
                <w:sz w:val="20"/>
              </w:rPr>
              <w:t>2.06(A</w:t>
            </w:r>
            <w:r>
              <w:rPr>
                <w:sz w:val="20"/>
              </w:rPr>
              <w:t>)</w:t>
            </w:r>
          </w:p>
        </w:tc>
      </w:tr>
      <w:tr>
        <w:trPr/>
        <w:tc>
          <w:tcPr>
            <w:tcW w:w="4805" w:type="dxa"/>
            <w:tcBorders/>
            <w:vAlign w:val="center"/>
          </w:tcPr>
          <w:p>
            <w:pPr>
              <w:pStyle w:val="TableContents"/>
              <w:bidi w:val="0"/>
              <w:spacing w:before="0" w:after="283"/>
              <w:jc w:val="both"/>
              <w:rPr/>
            </w:pPr>
            <w:r>
              <w:rPr/>
              <w:t>“</w:t>
            </w:r>
            <w:r>
              <w:rPr>
                <w:b/>
                <w:sz w:val="20"/>
              </w:rPr>
              <w:t>Conversion Consideration</w:t>
            </w:r>
            <w:r>
              <w:rPr>
                <w:sz w:val="20"/>
              </w:rPr>
              <w:t>”</w:t>
            </w:r>
          </w:p>
        </w:tc>
        <w:tc>
          <w:tcPr>
            <w:tcW w:w="1235" w:type="dxa"/>
            <w:tcBorders/>
            <w:vAlign w:val="center"/>
          </w:tcPr>
          <w:p>
            <w:pPr>
              <w:pStyle w:val="TableContents"/>
              <w:bidi w:val="0"/>
              <w:spacing w:before="0" w:after="283"/>
              <w:jc w:val="right"/>
              <w:rPr/>
            </w:pPr>
            <w:r>
              <w:rPr/>
              <w:t>‎</w:t>
            </w:r>
            <w:r>
              <w:rPr>
                <w:b/>
                <w:sz w:val="20"/>
              </w:rPr>
              <w:t>5.03(B</w:t>
            </w:r>
            <w:r>
              <w:rPr>
                <w:sz w:val="20"/>
              </w:rPr>
              <w:t>)</w:t>
            </w:r>
          </w:p>
        </w:tc>
      </w:tr>
      <w:tr>
        <w:trPr/>
        <w:tc>
          <w:tcPr>
            <w:tcW w:w="4805" w:type="dxa"/>
            <w:tcBorders/>
            <w:vAlign w:val="center"/>
          </w:tcPr>
          <w:p>
            <w:pPr>
              <w:pStyle w:val="TableContents"/>
              <w:bidi w:val="0"/>
              <w:spacing w:before="0" w:after="283"/>
              <w:jc w:val="both"/>
              <w:rPr/>
            </w:pPr>
            <w:r>
              <w:rPr/>
              <w:t>“</w:t>
            </w:r>
            <w:r>
              <w:rPr>
                <w:b/>
                <w:sz w:val="20"/>
              </w:rPr>
              <w:t>Default Interest</w:t>
            </w:r>
            <w:r>
              <w:rPr>
                <w:sz w:val="20"/>
              </w:rPr>
              <w:t>”</w:t>
            </w:r>
          </w:p>
        </w:tc>
        <w:tc>
          <w:tcPr>
            <w:tcW w:w="1235" w:type="dxa"/>
            <w:tcBorders/>
            <w:vAlign w:val="center"/>
          </w:tcPr>
          <w:p>
            <w:pPr>
              <w:pStyle w:val="TableContents"/>
              <w:bidi w:val="0"/>
              <w:spacing w:before="0" w:after="283"/>
              <w:jc w:val="right"/>
              <w:rPr/>
            </w:pPr>
            <w:r>
              <w:rPr/>
              <w:t>‎</w:t>
            </w:r>
            <w:r>
              <w:rPr>
                <w:b/>
                <w:sz w:val="20"/>
              </w:rPr>
              <w:t>2.05(B</w:t>
            </w:r>
            <w:r>
              <w:rPr>
                <w:sz w:val="20"/>
              </w:rPr>
              <w:t>)</w:t>
            </w:r>
          </w:p>
        </w:tc>
      </w:tr>
      <w:tr>
        <w:trPr/>
        <w:tc>
          <w:tcPr>
            <w:tcW w:w="4805" w:type="dxa"/>
            <w:tcBorders/>
            <w:vAlign w:val="center"/>
          </w:tcPr>
          <w:p>
            <w:pPr>
              <w:pStyle w:val="TableContents"/>
              <w:bidi w:val="0"/>
              <w:spacing w:before="0" w:after="283"/>
              <w:jc w:val="both"/>
              <w:rPr/>
            </w:pPr>
            <w:r>
              <w:rPr/>
              <w:t>“</w:t>
            </w:r>
            <w:r>
              <w:rPr>
                <w:b/>
                <w:sz w:val="20"/>
              </w:rPr>
              <w:t>Defaulted Amount</w:t>
            </w:r>
            <w:r>
              <w:rPr>
                <w:sz w:val="20"/>
              </w:rPr>
              <w:t>”</w:t>
            </w:r>
          </w:p>
        </w:tc>
        <w:tc>
          <w:tcPr>
            <w:tcW w:w="1235" w:type="dxa"/>
            <w:tcBorders/>
            <w:vAlign w:val="center"/>
          </w:tcPr>
          <w:p>
            <w:pPr>
              <w:pStyle w:val="TableContents"/>
              <w:bidi w:val="0"/>
              <w:spacing w:before="0" w:after="283"/>
              <w:jc w:val="right"/>
              <w:rPr/>
            </w:pPr>
            <w:r>
              <w:rPr/>
              <w:t>‎</w:t>
            </w:r>
            <w:r>
              <w:rPr>
                <w:b/>
                <w:sz w:val="20"/>
              </w:rPr>
              <w:t>2.05(B</w:t>
            </w:r>
            <w:r>
              <w:rPr>
                <w:sz w:val="20"/>
              </w:rPr>
              <w:t>)</w:t>
            </w:r>
          </w:p>
        </w:tc>
      </w:tr>
      <w:tr>
        <w:trPr/>
        <w:tc>
          <w:tcPr>
            <w:tcW w:w="4805" w:type="dxa"/>
            <w:tcBorders/>
            <w:vAlign w:val="center"/>
          </w:tcPr>
          <w:p>
            <w:pPr>
              <w:pStyle w:val="TableContents"/>
              <w:bidi w:val="0"/>
              <w:spacing w:before="0" w:after="283"/>
              <w:jc w:val="both"/>
              <w:rPr/>
            </w:pPr>
            <w:r>
              <w:rPr/>
              <w:t>“</w:t>
            </w:r>
            <w:r>
              <w:rPr>
                <w:b/>
                <w:sz w:val="20"/>
              </w:rPr>
              <w:t>Deferred Additional Interest</w:t>
            </w:r>
            <w:r>
              <w:rPr>
                <w:sz w:val="20"/>
              </w:rPr>
              <w:t>”</w:t>
            </w:r>
          </w:p>
        </w:tc>
        <w:tc>
          <w:tcPr>
            <w:tcW w:w="1235" w:type="dxa"/>
            <w:tcBorders/>
            <w:vAlign w:val="center"/>
          </w:tcPr>
          <w:p>
            <w:pPr>
              <w:pStyle w:val="TableContents"/>
              <w:bidi w:val="0"/>
              <w:spacing w:before="0" w:after="283"/>
              <w:jc w:val="right"/>
              <w:rPr/>
            </w:pPr>
            <w:r>
              <w:rPr/>
              <w:t>‎</w:t>
            </w:r>
            <w:r>
              <w:rPr>
                <w:b/>
                <w:sz w:val="20"/>
              </w:rPr>
              <w:t>3.04(C)(i</w:t>
            </w:r>
            <w:r>
              <w:rPr>
                <w:sz w:val="20"/>
              </w:rPr>
              <w:t>)</w:t>
            </w:r>
          </w:p>
        </w:tc>
      </w:tr>
      <w:tr>
        <w:trPr/>
        <w:tc>
          <w:tcPr>
            <w:tcW w:w="4805" w:type="dxa"/>
            <w:tcBorders/>
            <w:vAlign w:val="center"/>
          </w:tcPr>
          <w:p>
            <w:pPr>
              <w:pStyle w:val="TableContents"/>
              <w:bidi w:val="0"/>
              <w:spacing w:before="0" w:after="283"/>
              <w:jc w:val="both"/>
              <w:rPr/>
            </w:pPr>
            <w:r>
              <w:rPr/>
              <w:t>“</w:t>
            </w:r>
            <w:r>
              <w:rPr>
                <w:b/>
                <w:sz w:val="20"/>
              </w:rPr>
              <w:t>Deferred Additional Interest Demand Request</w:t>
            </w:r>
            <w:r>
              <w:rPr>
                <w:sz w:val="20"/>
              </w:rPr>
              <w:t>”</w:t>
            </w:r>
          </w:p>
        </w:tc>
        <w:tc>
          <w:tcPr>
            <w:tcW w:w="1235" w:type="dxa"/>
            <w:tcBorders/>
            <w:vAlign w:val="center"/>
          </w:tcPr>
          <w:p>
            <w:pPr>
              <w:pStyle w:val="TableContents"/>
              <w:bidi w:val="0"/>
              <w:spacing w:before="0" w:after="283"/>
              <w:jc w:val="right"/>
              <w:rPr/>
            </w:pPr>
            <w:r>
              <w:rPr/>
              <w:t>‎</w:t>
            </w:r>
            <w:r>
              <w:rPr>
                <w:b/>
                <w:sz w:val="20"/>
              </w:rPr>
              <w:t>3.04(C)(i</w:t>
            </w:r>
            <w:r>
              <w:rPr>
                <w:sz w:val="20"/>
              </w:rPr>
              <w:t>)</w:t>
            </w:r>
          </w:p>
        </w:tc>
      </w:tr>
      <w:tr>
        <w:trPr/>
        <w:tc>
          <w:tcPr>
            <w:tcW w:w="4805" w:type="dxa"/>
            <w:tcBorders/>
            <w:vAlign w:val="center"/>
          </w:tcPr>
          <w:p>
            <w:pPr>
              <w:pStyle w:val="TableContents"/>
              <w:bidi w:val="0"/>
              <w:spacing w:before="0" w:after="283"/>
              <w:jc w:val="both"/>
              <w:rPr/>
            </w:pPr>
            <w:r>
              <w:rPr/>
              <w:t>“</w:t>
            </w:r>
            <w:r>
              <w:rPr>
                <w:b/>
                <w:sz w:val="20"/>
              </w:rPr>
              <w:t>Event of Default</w:t>
            </w:r>
            <w:r>
              <w:rPr>
                <w:sz w:val="20"/>
              </w:rPr>
              <w:t>”</w:t>
            </w:r>
          </w:p>
        </w:tc>
        <w:tc>
          <w:tcPr>
            <w:tcW w:w="1235" w:type="dxa"/>
            <w:tcBorders/>
            <w:vAlign w:val="center"/>
          </w:tcPr>
          <w:p>
            <w:pPr>
              <w:pStyle w:val="TableContents"/>
              <w:bidi w:val="0"/>
              <w:spacing w:before="0" w:after="283"/>
              <w:jc w:val="right"/>
              <w:rPr/>
            </w:pPr>
            <w:r>
              <w:rPr/>
              <w:t>‎</w:t>
            </w:r>
            <w:r>
              <w:rPr>
                <w:b/>
                <w:sz w:val="20"/>
              </w:rPr>
              <w:t>7.01(A</w:t>
            </w:r>
            <w:r>
              <w:rPr>
                <w:sz w:val="20"/>
              </w:rPr>
              <w:t>)</w:t>
            </w:r>
          </w:p>
        </w:tc>
      </w:tr>
      <w:tr>
        <w:trPr/>
        <w:tc>
          <w:tcPr>
            <w:tcW w:w="4805" w:type="dxa"/>
            <w:tcBorders/>
            <w:vAlign w:val="center"/>
          </w:tcPr>
          <w:p>
            <w:pPr>
              <w:pStyle w:val="TableContents"/>
              <w:bidi w:val="0"/>
              <w:spacing w:before="0" w:after="283"/>
              <w:jc w:val="both"/>
              <w:rPr/>
            </w:pPr>
            <w:r>
              <w:rPr/>
              <w:t>“</w:t>
            </w:r>
            <w:r>
              <w:rPr>
                <w:b/>
                <w:sz w:val="20"/>
              </w:rPr>
              <w:t>Expiration Date</w:t>
            </w:r>
            <w:r>
              <w:rPr>
                <w:sz w:val="20"/>
              </w:rPr>
              <w:t>”</w:t>
            </w:r>
          </w:p>
        </w:tc>
        <w:tc>
          <w:tcPr>
            <w:tcW w:w="1235" w:type="dxa"/>
            <w:tcBorders/>
            <w:vAlign w:val="center"/>
          </w:tcPr>
          <w:p>
            <w:pPr>
              <w:pStyle w:val="TableContents"/>
              <w:bidi w:val="0"/>
              <w:spacing w:before="0" w:after="283"/>
              <w:jc w:val="right"/>
              <w:rPr/>
            </w:pPr>
            <w:r>
              <w:rPr/>
              <w:t>‎</w:t>
            </w:r>
            <w:r>
              <w:rPr>
                <w:b/>
                <w:sz w:val="20"/>
              </w:rPr>
              <w:t>5.05(A)(v</w:t>
            </w:r>
            <w:r>
              <w:rPr>
                <w:sz w:val="20"/>
              </w:rPr>
              <w:t>)</w:t>
            </w:r>
          </w:p>
        </w:tc>
      </w:tr>
      <w:tr>
        <w:trPr/>
        <w:tc>
          <w:tcPr>
            <w:tcW w:w="4805" w:type="dxa"/>
            <w:tcBorders/>
            <w:vAlign w:val="center"/>
          </w:tcPr>
          <w:p>
            <w:pPr>
              <w:pStyle w:val="TableContents"/>
              <w:bidi w:val="0"/>
              <w:spacing w:before="0" w:after="283"/>
              <w:jc w:val="both"/>
              <w:rPr/>
            </w:pPr>
            <w:r>
              <w:rPr/>
              <w:t>“</w:t>
            </w:r>
            <w:r>
              <w:rPr>
                <w:b/>
                <w:sz w:val="20"/>
              </w:rPr>
              <w:t>Expiration Time</w:t>
            </w:r>
            <w:r>
              <w:rPr>
                <w:sz w:val="20"/>
              </w:rPr>
              <w:t>”</w:t>
            </w:r>
          </w:p>
        </w:tc>
        <w:tc>
          <w:tcPr>
            <w:tcW w:w="1235" w:type="dxa"/>
            <w:tcBorders/>
            <w:vAlign w:val="center"/>
          </w:tcPr>
          <w:p>
            <w:pPr>
              <w:pStyle w:val="TableContents"/>
              <w:bidi w:val="0"/>
              <w:spacing w:before="0" w:after="283"/>
              <w:jc w:val="right"/>
              <w:rPr/>
            </w:pPr>
            <w:r>
              <w:rPr/>
              <w:t>‎</w:t>
            </w:r>
            <w:r>
              <w:rPr>
                <w:b/>
                <w:sz w:val="20"/>
              </w:rPr>
              <w:t>5.05(A)(v</w:t>
            </w:r>
            <w:r>
              <w:rPr>
                <w:sz w:val="20"/>
              </w:rPr>
              <w:t>)</w:t>
            </w:r>
          </w:p>
        </w:tc>
      </w:tr>
      <w:tr>
        <w:trPr/>
        <w:tc>
          <w:tcPr>
            <w:tcW w:w="4805" w:type="dxa"/>
            <w:tcBorders/>
            <w:vAlign w:val="center"/>
          </w:tcPr>
          <w:p>
            <w:pPr>
              <w:pStyle w:val="TableContents"/>
              <w:bidi w:val="0"/>
              <w:spacing w:before="0" w:after="283"/>
              <w:jc w:val="both"/>
              <w:rPr/>
            </w:pPr>
            <w:r>
              <w:rPr/>
              <w:t>“</w:t>
            </w:r>
            <w:r>
              <w:rPr>
                <w:b/>
                <w:sz w:val="20"/>
              </w:rPr>
              <w:t>Fundamental Change Notice</w:t>
            </w:r>
            <w:r>
              <w:rPr>
                <w:sz w:val="20"/>
              </w:rPr>
              <w:t>”</w:t>
            </w:r>
          </w:p>
        </w:tc>
        <w:tc>
          <w:tcPr>
            <w:tcW w:w="1235" w:type="dxa"/>
            <w:tcBorders/>
            <w:vAlign w:val="center"/>
          </w:tcPr>
          <w:p>
            <w:pPr>
              <w:pStyle w:val="TableContents"/>
              <w:bidi w:val="0"/>
              <w:spacing w:before="0" w:after="283"/>
              <w:jc w:val="right"/>
              <w:rPr/>
            </w:pPr>
            <w:r>
              <w:rPr/>
              <w:t>‎</w:t>
            </w:r>
            <w:r>
              <w:rPr>
                <w:b/>
                <w:sz w:val="20"/>
              </w:rPr>
              <w:t>4.02(E</w:t>
            </w:r>
            <w:r>
              <w:rPr>
                <w:sz w:val="20"/>
              </w:rPr>
              <w:t>)</w:t>
            </w:r>
          </w:p>
        </w:tc>
      </w:tr>
      <w:tr>
        <w:trPr/>
        <w:tc>
          <w:tcPr>
            <w:tcW w:w="4805" w:type="dxa"/>
            <w:tcBorders/>
            <w:vAlign w:val="center"/>
          </w:tcPr>
          <w:p>
            <w:pPr>
              <w:pStyle w:val="TableContents"/>
              <w:bidi w:val="0"/>
              <w:spacing w:before="0" w:after="283"/>
              <w:jc w:val="both"/>
              <w:rPr/>
            </w:pPr>
            <w:r>
              <w:rPr/>
              <w:t>“</w:t>
            </w:r>
            <w:r>
              <w:rPr>
                <w:b/>
                <w:sz w:val="20"/>
              </w:rPr>
              <w:t>Fundamental Change Repurchase Right</w:t>
            </w:r>
            <w:r>
              <w:rPr>
                <w:sz w:val="20"/>
              </w:rPr>
              <w:t>”</w:t>
            </w:r>
          </w:p>
        </w:tc>
        <w:tc>
          <w:tcPr>
            <w:tcW w:w="1235" w:type="dxa"/>
            <w:tcBorders/>
            <w:vAlign w:val="center"/>
          </w:tcPr>
          <w:p>
            <w:pPr>
              <w:pStyle w:val="TableContents"/>
              <w:bidi w:val="0"/>
              <w:spacing w:before="0" w:after="283"/>
              <w:jc w:val="right"/>
              <w:rPr/>
            </w:pPr>
            <w:r>
              <w:rPr/>
              <w:t>‎</w:t>
            </w:r>
            <w:r>
              <w:rPr>
                <w:b/>
                <w:sz w:val="20"/>
              </w:rPr>
              <w:t>4.02(A</w:t>
            </w:r>
            <w:r>
              <w:rPr>
                <w:sz w:val="20"/>
              </w:rPr>
              <w:t>)</w:t>
            </w:r>
          </w:p>
        </w:tc>
      </w:tr>
      <w:tr>
        <w:trPr/>
        <w:tc>
          <w:tcPr>
            <w:tcW w:w="4805" w:type="dxa"/>
            <w:tcBorders/>
            <w:vAlign w:val="center"/>
          </w:tcPr>
          <w:p>
            <w:pPr>
              <w:pStyle w:val="TableContents"/>
              <w:bidi w:val="0"/>
              <w:spacing w:before="0" w:after="283"/>
              <w:jc w:val="both"/>
              <w:rPr/>
            </w:pPr>
            <w:r>
              <w:rPr/>
              <w:t>“</w:t>
            </w:r>
            <w:r>
              <w:rPr>
                <w:b/>
                <w:sz w:val="20"/>
              </w:rPr>
              <w:t>Initial Notes</w:t>
            </w:r>
            <w:r>
              <w:rPr>
                <w:sz w:val="20"/>
              </w:rPr>
              <w:t>”</w:t>
            </w:r>
          </w:p>
        </w:tc>
        <w:tc>
          <w:tcPr>
            <w:tcW w:w="1235" w:type="dxa"/>
            <w:tcBorders/>
            <w:vAlign w:val="center"/>
          </w:tcPr>
          <w:p>
            <w:pPr>
              <w:pStyle w:val="TableContents"/>
              <w:bidi w:val="0"/>
              <w:spacing w:before="0" w:after="283"/>
              <w:jc w:val="right"/>
              <w:rPr/>
            </w:pPr>
            <w:r>
              <w:rPr/>
              <w:t>‎</w:t>
            </w:r>
            <w:r>
              <w:rPr>
                <w:b/>
                <w:sz w:val="20"/>
              </w:rPr>
              <w:t>2.03(A</w:t>
            </w:r>
            <w:r>
              <w:rPr>
                <w:sz w:val="20"/>
              </w:rPr>
              <w:t>)</w:t>
            </w:r>
          </w:p>
        </w:tc>
      </w:tr>
      <w:tr>
        <w:trPr/>
        <w:tc>
          <w:tcPr>
            <w:tcW w:w="4805" w:type="dxa"/>
            <w:tcBorders/>
            <w:vAlign w:val="center"/>
          </w:tcPr>
          <w:p>
            <w:pPr>
              <w:pStyle w:val="TableContents"/>
              <w:bidi w:val="0"/>
              <w:spacing w:before="0" w:after="283"/>
              <w:jc w:val="both"/>
              <w:rPr/>
            </w:pPr>
            <w:r>
              <w:rPr/>
              <w:t>“</w:t>
            </w:r>
            <w:r>
              <w:rPr>
                <w:b/>
                <w:sz w:val="20"/>
              </w:rPr>
              <w:t>Measurement Period</w:t>
            </w:r>
            <w:r>
              <w:rPr>
                <w:sz w:val="20"/>
              </w:rPr>
              <w:t>”</w:t>
            </w:r>
          </w:p>
        </w:tc>
        <w:tc>
          <w:tcPr>
            <w:tcW w:w="1235" w:type="dxa"/>
            <w:tcBorders/>
            <w:vAlign w:val="center"/>
          </w:tcPr>
          <w:p>
            <w:pPr>
              <w:pStyle w:val="TableContents"/>
              <w:bidi w:val="0"/>
              <w:spacing w:before="0" w:after="283"/>
              <w:jc w:val="right"/>
              <w:rPr/>
            </w:pPr>
            <w:r>
              <w:rPr/>
              <w:t>‎</w:t>
            </w:r>
            <w:r>
              <w:rPr>
                <w:b/>
                <w:sz w:val="20"/>
              </w:rPr>
              <w:t>5.01(C)(i)(2</w:t>
            </w:r>
            <w:r>
              <w:rPr>
                <w:sz w:val="20"/>
              </w:rPr>
              <w:t>)</w:t>
            </w:r>
          </w:p>
        </w:tc>
      </w:tr>
      <w:tr>
        <w:trPr/>
        <w:tc>
          <w:tcPr>
            <w:tcW w:w="4805" w:type="dxa"/>
            <w:tcBorders/>
            <w:vAlign w:val="center"/>
          </w:tcPr>
          <w:p>
            <w:pPr>
              <w:pStyle w:val="TableContents"/>
              <w:bidi w:val="0"/>
              <w:spacing w:before="0" w:after="283"/>
              <w:jc w:val="both"/>
              <w:rPr/>
            </w:pPr>
            <w:r>
              <w:rPr/>
              <w:t>“</w:t>
            </w:r>
            <w:r>
              <w:rPr>
                <w:b/>
                <w:sz w:val="20"/>
              </w:rPr>
              <w:t>Notice of Election to Pay Deferred Additional Interest</w:t>
            </w:r>
            <w:r>
              <w:rPr>
                <w:sz w:val="20"/>
              </w:rPr>
              <w:t>”</w:t>
            </w:r>
          </w:p>
        </w:tc>
        <w:tc>
          <w:tcPr>
            <w:tcW w:w="1235" w:type="dxa"/>
            <w:tcBorders/>
            <w:vAlign w:val="center"/>
          </w:tcPr>
          <w:p>
            <w:pPr>
              <w:pStyle w:val="TableContents"/>
              <w:bidi w:val="0"/>
              <w:spacing w:before="0" w:after="283"/>
              <w:jc w:val="right"/>
              <w:rPr/>
            </w:pPr>
            <w:r>
              <w:rPr/>
              <w:t>‎</w:t>
            </w:r>
            <w:r>
              <w:rPr>
                <w:b/>
                <w:sz w:val="20"/>
              </w:rPr>
              <w:t>3.04(C)(i</w:t>
            </w:r>
            <w:r>
              <w:rPr>
                <w:sz w:val="20"/>
              </w:rPr>
              <w:t>)</w:t>
            </w:r>
          </w:p>
        </w:tc>
      </w:tr>
      <w:tr>
        <w:trPr/>
        <w:tc>
          <w:tcPr>
            <w:tcW w:w="4805" w:type="dxa"/>
            <w:tcBorders/>
            <w:vAlign w:val="center"/>
          </w:tcPr>
          <w:p>
            <w:pPr>
              <w:pStyle w:val="TableContents"/>
              <w:bidi w:val="0"/>
              <w:spacing w:before="0" w:after="283"/>
              <w:jc w:val="both"/>
              <w:rPr/>
            </w:pPr>
            <w:r>
              <w:rPr/>
              <w:t>“</w:t>
            </w:r>
            <w:r>
              <w:rPr>
                <w:b/>
                <w:sz w:val="20"/>
              </w:rPr>
              <w:t>Paying Agent</w:t>
            </w:r>
            <w:r>
              <w:rPr>
                <w:sz w:val="20"/>
              </w:rPr>
              <w:t>”</w:t>
            </w:r>
          </w:p>
        </w:tc>
        <w:tc>
          <w:tcPr>
            <w:tcW w:w="1235" w:type="dxa"/>
            <w:tcBorders/>
            <w:vAlign w:val="center"/>
          </w:tcPr>
          <w:p>
            <w:pPr>
              <w:pStyle w:val="TableContents"/>
              <w:bidi w:val="0"/>
              <w:spacing w:before="0" w:after="283"/>
              <w:jc w:val="right"/>
              <w:rPr/>
            </w:pPr>
            <w:r>
              <w:rPr/>
              <w:t>‎</w:t>
            </w:r>
            <w:r>
              <w:rPr>
                <w:b/>
                <w:sz w:val="20"/>
              </w:rPr>
              <w:t>2.06(A</w:t>
            </w:r>
            <w:r>
              <w:rPr>
                <w:sz w:val="20"/>
              </w:rPr>
              <w:t>)</w:t>
            </w:r>
          </w:p>
        </w:tc>
      </w:tr>
      <w:tr>
        <w:trPr/>
        <w:tc>
          <w:tcPr>
            <w:tcW w:w="4805" w:type="dxa"/>
            <w:tcBorders/>
            <w:vAlign w:val="center"/>
          </w:tcPr>
          <w:p>
            <w:pPr>
              <w:pStyle w:val="TableContents"/>
              <w:bidi w:val="0"/>
              <w:spacing w:before="0" w:after="283"/>
              <w:jc w:val="both"/>
              <w:rPr/>
            </w:pPr>
            <w:r>
              <w:rPr/>
              <w:t>“</w:t>
            </w:r>
            <w:r>
              <w:rPr>
                <w:b/>
                <w:sz w:val="20"/>
              </w:rPr>
              <w:t>Redemption Notice</w:t>
            </w:r>
            <w:r>
              <w:rPr>
                <w:sz w:val="20"/>
              </w:rPr>
              <w:t>”</w:t>
            </w:r>
          </w:p>
        </w:tc>
        <w:tc>
          <w:tcPr>
            <w:tcW w:w="1235" w:type="dxa"/>
            <w:tcBorders/>
            <w:vAlign w:val="center"/>
          </w:tcPr>
          <w:p>
            <w:pPr>
              <w:pStyle w:val="TableContents"/>
              <w:bidi w:val="0"/>
              <w:spacing w:before="0" w:after="283"/>
              <w:jc w:val="right"/>
              <w:rPr/>
            </w:pPr>
            <w:r>
              <w:rPr/>
              <w:t>‎</w:t>
            </w:r>
            <w:r>
              <w:rPr>
                <w:b/>
                <w:sz w:val="20"/>
              </w:rPr>
              <w:t>4.03(F</w:t>
            </w:r>
            <w:r>
              <w:rPr>
                <w:sz w:val="20"/>
              </w:rPr>
              <w:t>)</w:t>
            </w:r>
          </w:p>
        </w:tc>
      </w:tr>
      <w:tr>
        <w:trPr/>
        <w:tc>
          <w:tcPr>
            <w:tcW w:w="4805" w:type="dxa"/>
            <w:tcBorders/>
            <w:vAlign w:val="center"/>
          </w:tcPr>
          <w:p>
            <w:pPr>
              <w:pStyle w:val="TableContents"/>
              <w:bidi w:val="0"/>
              <w:spacing w:before="0" w:after="283"/>
              <w:jc w:val="both"/>
              <w:rPr/>
            </w:pPr>
            <w:r>
              <w:rPr/>
              <w:t>“</w:t>
            </w:r>
            <w:r>
              <w:rPr>
                <w:b/>
                <w:sz w:val="20"/>
              </w:rPr>
              <w:t>Reference Property</w:t>
            </w:r>
            <w:r>
              <w:rPr>
                <w:sz w:val="20"/>
              </w:rPr>
              <w:t>”</w:t>
            </w:r>
          </w:p>
        </w:tc>
        <w:tc>
          <w:tcPr>
            <w:tcW w:w="1235" w:type="dxa"/>
            <w:tcBorders/>
            <w:vAlign w:val="center"/>
          </w:tcPr>
          <w:p>
            <w:pPr>
              <w:pStyle w:val="TableContents"/>
              <w:bidi w:val="0"/>
              <w:spacing w:before="0" w:after="283"/>
              <w:jc w:val="right"/>
              <w:rPr/>
            </w:pPr>
            <w:r>
              <w:rPr/>
              <w:t>‎</w:t>
            </w:r>
            <w:r>
              <w:rPr>
                <w:b/>
                <w:sz w:val="20"/>
              </w:rPr>
              <w:t>5.09(A</w:t>
            </w:r>
            <w:r>
              <w:rPr>
                <w:sz w:val="20"/>
              </w:rPr>
              <w:t>)</w:t>
            </w:r>
          </w:p>
        </w:tc>
      </w:tr>
      <w:tr>
        <w:trPr/>
        <w:tc>
          <w:tcPr>
            <w:tcW w:w="4805" w:type="dxa"/>
            <w:tcBorders/>
            <w:vAlign w:val="center"/>
          </w:tcPr>
          <w:p>
            <w:pPr>
              <w:pStyle w:val="TableContents"/>
              <w:bidi w:val="0"/>
              <w:spacing w:before="0" w:after="283"/>
              <w:jc w:val="both"/>
              <w:rPr/>
            </w:pPr>
            <w:r>
              <w:rPr/>
              <w:t>“</w:t>
            </w:r>
            <w:r>
              <w:rPr>
                <w:b/>
                <w:sz w:val="20"/>
              </w:rPr>
              <w:t>Reference Property Unit</w:t>
            </w:r>
            <w:r>
              <w:rPr>
                <w:sz w:val="20"/>
              </w:rPr>
              <w:t>”</w:t>
            </w:r>
          </w:p>
        </w:tc>
        <w:tc>
          <w:tcPr>
            <w:tcW w:w="1235" w:type="dxa"/>
            <w:tcBorders/>
            <w:vAlign w:val="center"/>
          </w:tcPr>
          <w:p>
            <w:pPr>
              <w:pStyle w:val="TableContents"/>
              <w:bidi w:val="0"/>
              <w:spacing w:before="0" w:after="283"/>
              <w:jc w:val="right"/>
              <w:rPr/>
            </w:pPr>
            <w:r>
              <w:rPr/>
              <w:t>‎</w:t>
            </w:r>
            <w:r>
              <w:rPr>
                <w:b/>
                <w:sz w:val="20"/>
              </w:rPr>
              <w:t>5.09(A</w:t>
            </w:r>
            <w:r>
              <w:rPr>
                <w:sz w:val="20"/>
              </w:rPr>
              <w:t>)</w:t>
            </w:r>
          </w:p>
        </w:tc>
      </w:tr>
      <w:tr>
        <w:trPr/>
        <w:tc>
          <w:tcPr>
            <w:tcW w:w="4805" w:type="dxa"/>
            <w:tcBorders/>
            <w:vAlign w:val="center"/>
          </w:tcPr>
          <w:p>
            <w:pPr>
              <w:pStyle w:val="TableContents"/>
              <w:bidi w:val="0"/>
              <w:spacing w:before="0" w:after="283"/>
              <w:jc w:val="both"/>
              <w:rPr/>
            </w:pPr>
            <w:r>
              <w:rPr/>
              <w:t>“</w:t>
            </w:r>
            <w:r>
              <w:rPr>
                <w:b/>
                <w:sz w:val="20"/>
              </w:rPr>
              <w:t>Register</w:t>
            </w:r>
            <w:r>
              <w:rPr>
                <w:sz w:val="20"/>
              </w:rPr>
              <w:t>”</w:t>
            </w:r>
          </w:p>
        </w:tc>
        <w:tc>
          <w:tcPr>
            <w:tcW w:w="1235" w:type="dxa"/>
            <w:tcBorders/>
            <w:vAlign w:val="center"/>
          </w:tcPr>
          <w:p>
            <w:pPr>
              <w:pStyle w:val="TableContents"/>
              <w:bidi w:val="0"/>
              <w:spacing w:before="0" w:after="283"/>
              <w:jc w:val="right"/>
              <w:rPr/>
            </w:pPr>
            <w:r>
              <w:rPr/>
              <w:t>‎</w:t>
            </w:r>
            <w:r>
              <w:rPr>
                <w:b/>
                <w:sz w:val="20"/>
              </w:rPr>
              <w:t>2.06(B</w:t>
            </w:r>
            <w:r>
              <w:rPr>
                <w:sz w:val="20"/>
              </w:rPr>
              <w:t>)</w:t>
            </w:r>
          </w:p>
        </w:tc>
      </w:tr>
      <w:tr>
        <w:trPr/>
        <w:tc>
          <w:tcPr>
            <w:tcW w:w="4805" w:type="dxa"/>
            <w:tcBorders/>
            <w:vAlign w:val="center"/>
          </w:tcPr>
          <w:p>
            <w:pPr>
              <w:pStyle w:val="TableContents"/>
              <w:bidi w:val="0"/>
              <w:spacing w:before="0" w:after="283"/>
              <w:jc w:val="both"/>
              <w:rPr/>
            </w:pPr>
            <w:r>
              <w:rPr/>
              <w:t>“</w:t>
            </w:r>
            <w:r>
              <w:rPr>
                <w:b/>
                <w:sz w:val="20"/>
              </w:rPr>
              <w:t>Registrar</w:t>
            </w:r>
            <w:r>
              <w:rPr>
                <w:sz w:val="20"/>
              </w:rPr>
              <w:t>”</w:t>
            </w:r>
          </w:p>
        </w:tc>
        <w:tc>
          <w:tcPr>
            <w:tcW w:w="1235" w:type="dxa"/>
            <w:tcBorders/>
            <w:vAlign w:val="center"/>
          </w:tcPr>
          <w:p>
            <w:pPr>
              <w:pStyle w:val="TableContents"/>
              <w:bidi w:val="0"/>
              <w:spacing w:before="0" w:after="283"/>
              <w:jc w:val="right"/>
              <w:rPr/>
            </w:pPr>
            <w:r>
              <w:rPr/>
              <w:t>‎</w:t>
            </w:r>
            <w:r>
              <w:rPr>
                <w:b/>
                <w:sz w:val="20"/>
              </w:rPr>
              <w:t>2.06(A</w:t>
            </w:r>
            <w:r>
              <w:rPr>
                <w:sz w:val="20"/>
              </w:rPr>
              <w:t>)</w:t>
            </w:r>
          </w:p>
        </w:tc>
      </w:tr>
      <w:tr>
        <w:trPr/>
        <w:tc>
          <w:tcPr>
            <w:tcW w:w="4805" w:type="dxa"/>
            <w:tcBorders/>
            <w:vAlign w:val="center"/>
          </w:tcPr>
          <w:p>
            <w:pPr>
              <w:pStyle w:val="TableContents"/>
              <w:bidi w:val="0"/>
              <w:spacing w:before="0" w:after="283"/>
              <w:jc w:val="both"/>
              <w:rPr/>
            </w:pPr>
            <w:r>
              <w:rPr/>
              <w:t>“</w:t>
            </w:r>
            <w:r>
              <w:rPr>
                <w:b/>
                <w:sz w:val="20"/>
              </w:rPr>
              <w:t>Reporting Event of Default</w:t>
            </w:r>
            <w:r>
              <w:rPr>
                <w:sz w:val="20"/>
              </w:rPr>
              <w:t>”</w:t>
            </w:r>
          </w:p>
        </w:tc>
        <w:tc>
          <w:tcPr>
            <w:tcW w:w="1235" w:type="dxa"/>
            <w:tcBorders/>
            <w:vAlign w:val="center"/>
          </w:tcPr>
          <w:p>
            <w:pPr>
              <w:pStyle w:val="TableContents"/>
              <w:bidi w:val="0"/>
              <w:spacing w:before="0" w:after="283"/>
              <w:jc w:val="right"/>
              <w:rPr/>
            </w:pPr>
            <w:r>
              <w:rPr/>
              <w:t>‎</w:t>
            </w:r>
            <w:r>
              <w:rPr>
                <w:b/>
                <w:sz w:val="20"/>
              </w:rPr>
              <w:t>7.03(A</w:t>
            </w:r>
            <w:r>
              <w:rPr>
                <w:sz w:val="20"/>
              </w:rPr>
              <w:t>)</w:t>
            </w:r>
          </w:p>
        </w:tc>
      </w:tr>
      <w:tr>
        <w:trPr/>
        <w:tc>
          <w:tcPr>
            <w:tcW w:w="4805" w:type="dxa"/>
            <w:tcBorders/>
            <w:vAlign w:val="center"/>
          </w:tcPr>
          <w:p>
            <w:pPr>
              <w:pStyle w:val="TableContents"/>
              <w:bidi w:val="0"/>
              <w:spacing w:before="0" w:after="283"/>
              <w:jc w:val="both"/>
              <w:rPr/>
            </w:pPr>
            <w:r>
              <w:rPr/>
              <w:t>“</w:t>
            </w:r>
            <w:r>
              <w:rPr>
                <w:b/>
                <w:sz w:val="20"/>
              </w:rPr>
              <w:t>Specified Courts</w:t>
            </w:r>
            <w:r>
              <w:rPr>
                <w:sz w:val="20"/>
              </w:rPr>
              <w:t>”</w:t>
            </w:r>
          </w:p>
        </w:tc>
        <w:tc>
          <w:tcPr>
            <w:tcW w:w="1235" w:type="dxa"/>
            <w:tcBorders/>
            <w:vAlign w:val="center"/>
          </w:tcPr>
          <w:p>
            <w:pPr>
              <w:pStyle w:val="TableContents"/>
              <w:bidi w:val="0"/>
              <w:spacing w:before="0" w:after="283"/>
              <w:jc w:val="right"/>
              <w:rPr/>
            </w:pPr>
            <w:r>
              <w:rPr/>
              <w:t>‎</w:t>
            </w:r>
            <w:r>
              <w:rPr>
                <w:sz w:val="20"/>
              </w:rPr>
              <w:t>11.07</w:t>
            </w:r>
          </w:p>
        </w:tc>
      </w:tr>
      <w:tr>
        <w:trPr/>
        <w:tc>
          <w:tcPr>
            <w:tcW w:w="4805" w:type="dxa"/>
            <w:tcBorders/>
            <w:vAlign w:val="center"/>
          </w:tcPr>
          <w:p>
            <w:pPr>
              <w:pStyle w:val="TableContents"/>
              <w:bidi w:val="0"/>
              <w:spacing w:before="0" w:after="283"/>
              <w:jc w:val="both"/>
              <w:rPr/>
            </w:pPr>
            <w:r>
              <w:rPr/>
              <w:t>“</w:t>
            </w:r>
            <w:r>
              <w:rPr>
                <w:b/>
                <w:sz w:val="20"/>
              </w:rPr>
              <w:t>Spin-Off</w:t>
            </w:r>
            <w:r>
              <w:rPr>
                <w:sz w:val="20"/>
              </w:rPr>
              <w:t>”</w:t>
            </w:r>
          </w:p>
        </w:tc>
        <w:tc>
          <w:tcPr>
            <w:tcW w:w="1235" w:type="dxa"/>
            <w:tcBorders/>
            <w:vAlign w:val="center"/>
          </w:tcPr>
          <w:p>
            <w:pPr>
              <w:pStyle w:val="TableContents"/>
              <w:bidi w:val="0"/>
              <w:spacing w:before="0" w:after="283"/>
              <w:jc w:val="right"/>
              <w:rPr/>
            </w:pPr>
            <w:r>
              <w:rPr/>
              <w:t>‎</w:t>
            </w:r>
            <w:r>
              <w:rPr>
                <w:b/>
                <w:sz w:val="20"/>
              </w:rPr>
              <w:t>5.05(A)(iii)(2</w:t>
            </w:r>
            <w:r>
              <w:rPr>
                <w:sz w:val="20"/>
              </w:rPr>
              <w:t>)</w:t>
            </w:r>
          </w:p>
        </w:tc>
      </w:tr>
      <w:tr>
        <w:trPr/>
        <w:tc>
          <w:tcPr>
            <w:tcW w:w="4805" w:type="dxa"/>
            <w:tcBorders/>
            <w:vAlign w:val="center"/>
          </w:tcPr>
          <w:p>
            <w:pPr>
              <w:pStyle w:val="TableContents"/>
              <w:bidi w:val="0"/>
              <w:spacing w:before="0" w:after="283"/>
              <w:jc w:val="both"/>
              <w:rPr/>
            </w:pPr>
            <w:r>
              <w:rPr/>
              <w:t>“</w:t>
            </w:r>
            <w:r>
              <w:rPr>
                <w:b/>
                <w:sz w:val="20"/>
              </w:rPr>
              <w:t>Spin-Off Valuation Period</w:t>
            </w:r>
            <w:r>
              <w:rPr>
                <w:sz w:val="20"/>
              </w:rPr>
              <w:t>”</w:t>
            </w:r>
          </w:p>
        </w:tc>
        <w:tc>
          <w:tcPr>
            <w:tcW w:w="1235" w:type="dxa"/>
            <w:tcBorders/>
            <w:vAlign w:val="center"/>
          </w:tcPr>
          <w:p>
            <w:pPr>
              <w:pStyle w:val="TableContents"/>
              <w:bidi w:val="0"/>
              <w:spacing w:before="0" w:after="283"/>
              <w:jc w:val="right"/>
              <w:rPr/>
            </w:pPr>
            <w:r>
              <w:rPr/>
              <w:t>‎</w:t>
            </w:r>
            <w:r>
              <w:rPr>
                <w:b/>
                <w:sz w:val="20"/>
              </w:rPr>
              <w:t>5.05(A)(iii)(2</w:t>
            </w:r>
            <w:r>
              <w:rPr>
                <w:sz w:val="20"/>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- 13 -</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30" w:type="dxa"/>
          <w:left w:w="30" w:type="dxa"/>
          <w:bottom w:w="30" w:type="dxa"/>
          <w:right w:w="30" w:type="dxa"/>
        </w:tblCellMar>
      </w:tblPr>
      <w:tblGrid>
        <w:gridCol w:w="3800"/>
        <w:gridCol w:w="1115"/>
      </w:tblGrid>
      <w:tr>
        <w:trPr/>
        <w:tc>
          <w:tcPr>
            <w:tcW w:w="3800" w:type="dxa"/>
            <w:tcBorders/>
            <w:vAlign w:val="center"/>
          </w:tcPr>
          <w:p>
            <w:pPr>
              <w:pStyle w:val="TableContents"/>
              <w:bidi w:val="0"/>
              <w:spacing w:before="0" w:after="283"/>
              <w:jc w:val="both"/>
              <w:rPr/>
            </w:pPr>
            <w:r>
              <w:rPr/>
              <w:t>“</w:t>
            </w:r>
            <w:r>
              <w:rPr>
                <w:b/>
                <w:sz w:val="20"/>
              </w:rPr>
              <w:t>Stated Interest</w:t>
            </w:r>
            <w:r>
              <w:rPr>
                <w:sz w:val="20"/>
              </w:rPr>
              <w:t>”</w:t>
            </w:r>
          </w:p>
        </w:tc>
        <w:tc>
          <w:tcPr>
            <w:tcW w:w="1115" w:type="dxa"/>
            <w:tcBorders/>
            <w:vAlign w:val="center"/>
          </w:tcPr>
          <w:p>
            <w:pPr>
              <w:pStyle w:val="TableContents"/>
              <w:bidi w:val="0"/>
              <w:spacing w:before="0" w:after="283"/>
              <w:jc w:val="right"/>
              <w:rPr/>
            </w:pPr>
            <w:r>
              <w:rPr/>
              <w:t>‎</w:t>
            </w:r>
            <w:r>
              <w:rPr>
                <w:b/>
                <w:sz w:val="20"/>
              </w:rPr>
              <w:t>2.05(A</w:t>
            </w:r>
            <w:r>
              <w:rPr>
                <w:sz w:val="20"/>
              </w:rPr>
              <w:t>)</w:t>
            </w:r>
          </w:p>
        </w:tc>
      </w:tr>
      <w:tr>
        <w:trPr/>
        <w:tc>
          <w:tcPr>
            <w:tcW w:w="3800" w:type="dxa"/>
            <w:tcBorders/>
            <w:vAlign w:val="center"/>
          </w:tcPr>
          <w:p>
            <w:pPr>
              <w:pStyle w:val="TableContents"/>
              <w:bidi w:val="0"/>
              <w:spacing w:before="0" w:after="283"/>
              <w:jc w:val="both"/>
              <w:rPr/>
            </w:pPr>
            <w:r>
              <w:rPr/>
              <w:t>“</w:t>
            </w:r>
            <w:r>
              <w:rPr>
                <w:b/>
                <w:sz w:val="20"/>
              </w:rPr>
              <w:t>Successor Entity</w:t>
            </w:r>
            <w:r>
              <w:rPr>
                <w:sz w:val="20"/>
              </w:rPr>
              <w:t>”</w:t>
            </w:r>
          </w:p>
        </w:tc>
        <w:tc>
          <w:tcPr>
            <w:tcW w:w="1115" w:type="dxa"/>
            <w:tcBorders/>
            <w:vAlign w:val="center"/>
          </w:tcPr>
          <w:p>
            <w:pPr>
              <w:pStyle w:val="TableContents"/>
              <w:bidi w:val="0"/>
              <w:spacing w:before="0" w:after="283"/>
              <w:jc w:val="right"/>
              <w:rPr/>
            </w:pPr>
            <w:r>
              <w:rPr/>
              <w:t>‎</w:t>
            </w:r>
            <w:r>
              <w:rPr>
                <w:b/>
                <w:sz w:val="20"/>
              </w:rPr>
              <w:t>6.01(A</w:t>
            </w:r>
            <w:r>
              <w:rPr>
                <w:sz w:val="20"/>
              </w:rPr>
              <w:t>)</w:t>
            </w:r>
          </w:p>
        </w:tc>
      </w:tr>
      <w:tr>
        <w:trPr/>
        <w:tc>
          <w:tcPr>
            <w:tcW w:w="3800" w:type="dxa"/>
            <w:tcBorders/>
            <w:vAlign w:val="center"/>
          </w:tcPr>
          <w:p>
            <w:pPr>
              <w:pStyle w:val="TableContents"/>
              <w:bidi w:val="0"/>
              <w:spacing w:before="0" w:after="283"/>
              <w:jc w:val="both"/>
              <w:rPr/>
            </w:pPr>
            <w:r>
              <w:rPr/>
              <w:t>“</w:t>
            </w:r>
            <w:r>
              <w:rPr>
                <w:b/>
                <w:sz w:val="20"/>
              </w:rPr>
              <w:t>Successor Person</w:t>
            </w:r>
            <w:r>
              <w:rPr>
                <w:sz w:val="20"/>
              </w:rPr>
              <w:t>”</w:t>
            </w:r>
          </w:p>
        </w:tc>
        <w:tc>
          <w:tcPr>
            <w:tcW w:w="1115" w:type="dxa"/>
            <w:tcBorders/>
            <w:vAlign w:val="center"/>
          </w:tcPr>
          <w:p>
            <w:pPr>
              <w:pStyle w:val="TableContents"/>
              <w:bidi w:val="0"/>
              <w:spacing w:before="0" w:after="283"/>
              <w:jc w:val="right"/>
              <w:rPr/>
            </w:pPr>
            <w:r>
              <w:rPr/>
              <w:t>‎</w:t>
            </w:r>
            <w:r>
              <w:rPr>
                <w:b/>
                <w:sz w:val="20"/>
              </w:rPr>
              <w:t>5.09(A</w:t>
            </w:r>
            <w:r>
              <w:rPr>
                <w:sz w:val="20"/>
              </w:rPr>
              <w:t>)</w:t>
            </w:r>
          </w:p>
        </w:tc>
      </w:tr>
      <w:tr>
        <w:trPr/>
        <w:tc>
          <w:tcPr>
            <w:tcW w:w="3800" w:type="dxa"/>
            <w:tcBorders/>
            <w:vAlign w:val="center"/>
          </w:tcPr>
          <w:p>
            <w:pPr>
              <w:pStyle w:val="TableContents"/>
              <w:bidi w:val="0"/>
              <w:spacing w:before="0" w:after="283"/>
              <w:jc w:val="both"/>
              <w:rPr/>
            </w:pPr>
            <w:r>
              <w:rPr/>
              <w:t>“</w:t>
            </w:r>
            <w:r>
              <w:rPr>
                <w:b/>
                <w:sz w:val="20"/>
              </w:rPr>
              <w:t>Tender/Exchange Offer Valuation Period</w:t>
            </w:r>
            <w:r>
              <w:rPr>
                <w:sz w:val="20"/>
              </w:rPr>
              <w:t>”</w:t>
            </w:r>
          </w:p>
        </w:tc>
        <w:tc>
          <w:tcPr>
            <w:tcW w:w="1115" w:type="dxa"/>
            <w:tcBorders/>
            <w:vAlign w:val="center"/>
          </w:tcPr>
          <w:p>
            <w:pPr>
              <w:pStyle w:val="TableContents"/>
              <w:bidi w:val="0"/>
              <w:spacing w:before="0" w:after="283"/>
              <w:jc w:val="right"/>
              <w:rPr/>
            </w:pPr>
            <w:r>
              <w:rPr/>
              <w:t>‎</w:t>
            </w:r>
            <w:r>
              <w:rPr>
                <w:b/>
                <w:sz w:val="20"/>
              </w:rPr>
              <w:t>5.05(A)(v</w:t>
            </w:r>
            <w:r>
              <w:rPr>
                <w:sz w:val="20"/>
              </w:rPr>
              <w:t>)</w:t>
            </w:r>
          </w:p>
        </w:tc>
      </w:tr>
      <w:tr>
        <w:trPr/>
        <w:tc>
          <w:tcPr>
            <w:tcW w:w="3800" w:type="dxa"/>
            <w:tcBorders/>
            <w:vAlign w:val="center"/>
          </w:tcPr>
          <w:p>
            <w:pPr>
              <w:pStyle w:val="TableContents"/>
              <w:bidi w:val="0"/>
              <w:spacing w:before="0" w:after="283"/>
              <w:jc w:val="both"/>
              <w:rPr/>
            </w:pPr>
            <w:r>
              <w:rPr/>
              <w:t>“</w:t>
            </w:r>
            <w:r>
              <w:rPr>
                <w:b/>
                <w:sz w:val="20"/>
              </w:rPr>
              <w:t>Trading Price Condition</w:t>
            </w:r>
            <w:r>
              <w:rPr>
                <w:sz w:val="20"/>
              </w:rPr>
              <w:t>”</w:t>
            </w:r>
          </w:p>
        </w:tc>
        <w:tc>
          <w:tcPr>
            <w:tcW w:w="1115" w:type="dxa"/>
            <w:tcBorders/>
            <w:vAlign w:val="center"/>
          </w:tcPr>
          <w:p>
            <w:pPr>
              <w:pStyle w:val="TableContents"/>
              <w:bidi w:val="0"/>
              <w:spacing w:before="0" w:after="283"/>
              <w:jc w:val="right"/>
              <w:rPr/>
            </w:pPr>
            <w:r>
              <w:rPr/>
              <w:t>‎</w:t>
            </w:r>
            <w:r>
              <w:rPr>
                <w:b/>
                <w:sz w:val="20"/>
              </w:rPr>
              <w:t>5.01(C)(i)(2</w:t>
            </w:r>
            <w:r>
              <w:rPr>
                <w:sz w:val="20"/>
              </w:rPr>
              <w:t>)</w:t>
            </w:r>
          </w:p>
        </w:tc>
      </w:tr>
    </w:tbl>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1.03.   Rules of Construction.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“or” is not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“including” means “including without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“will” expresses a command;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“average” of a set of numerical values refers to the arithmetic average of such numerical values;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words in the singular include the plural and in the plural include the singular, unless the context requires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“herein,” “hereof” and other words of similar import refer to this Indenture as a whole and not to any particular Article, Section or other subdivision of this Indenture, unless the context requires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references to currency mean the lawful currency of the United States of America, unless the context requires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exhibits, schedules and other attachments to this Indenture are deemed to form part of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term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when used with respect to a Note, includes any Default Interest, Additional Interest (including, if applicable, Deferred Additional Interest and interest on such Deferred Additional Interest) and Special Interest, unless the context requires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   The Notes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2.01.   Form, Dating and Denominations.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and the Trustee’s certificate of authentication will be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The Notes will bear the legends required by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2.09 and may bear notations, legends or endorsements required by law, stock exchange rule or usage or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Each Note will be dated as of the date of its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issuable only in registered form without interest coupons and only in Authorized Denominations.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representing a Note will bear a unique registration number that is not affixed to any other certificate representing another outstanding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that any provision of any Note conflicts with the provisions of this Indenture, the provisions of this Indenture will control for purposes of this Indenture and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2.02.   Execution, Authentication and Delivery.</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Due Execution by the Company</w:t>
      </w:r>
      <w:r>
        <w:rPr>
          <w:rFonts w:ascii="Times New Roman;Times;Serif" w:hAnsi="Times New Roman;Times;Serif"/>
          <w:b w:val="false"/>
          <w:i w:val="false"/>
          <w:caps w:val="false"/>
          <w:smallCaps w:val="false"/>
          <w:sz w:val="20"/>
        </w:rPr>
        <w:t>. At least one (1) duly authorized Officer will sign the Notes on behalf of the Company by manual, electronic or facsimile signature. A Note’s validity will not be affected by the failure of any Officer whose signature is on any Note to hold, at the time such Note is authenticated, the same or any other office at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Authentication by the Trustee and Delivery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Times;Serif" w:hAnsi="Times New Roman;Times;Serif"/>
          <w:b/>
          <w:i w:val="false"/>
          <w:caps w:val="false"/>
          <w:smallCaps w:val="false"/>
          <w:sz w:val="20"/>
        </w:rPr>
        <w:t>Section 2.02(A</w:t>
      </w:r>
      <w:r>
        <w:rPr>
          <w:rFonts w:ascii="Times New Roman;Times;Serif" w:hAnsi="Times New Roman;Times;Serif"/>
          <w:b w:val="false"/>
          <w:i w:val="false"/>
          <w:caps w:val="false"/>
          <w:smallCaps w:val="false"/>
          <w:sz w:val="20"/>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authenticated by the Trustee. Each duly appointed authenticating agent will have the same rights to deal with the Company as the Trustee would have if it were performing the duties that the authenticating agent was validly appointed to undertake.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2.03.   Initial Notes and Additional Notes.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On the Issue Date, there will be originally issued three hundred sixteen million two hundred fifty thousand dollars ($316,250,000) aggregate principal amount of Notes, subject to the provisions of this Indenture (including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2.02). Notes issued pursuant to this ‎</w:t>
      </w:r>
      <w:r>
        <w:rPr>
          <w:rFonts w:ascii="Times New Roman;Times;Serif" w:hAnsi="Times New Roman;Times;Serif"/>
          <w:b/>
          <w:i w:val="false"/>
          <w:caps w:val="false"/>
          <w:smallCaps w:val="false"/>
          <w:sz w:val="20"/>
        </w:rPr>
        <w:t>Section 2.03(A</w:t>
      </w:r>
      <w:r>
        <w:rPr>
          <w:rFonts w:ascii="Times New Roman;Times;Serif" w:hAnsi="Times New Roman;Times;Serif"/>
          <w:b w:val="false"/>
          <w:i w:val="false"/>
          <w:caps w:val="false"/>
          <w:smallCaps w:val="false"/>
          <w:sz w:val="20"/>
        </w:rPr>
        <w:t>), and any Notes issued in exchange therefor or in substitution thereof, are referred to in this Indenture as the “</w:t>
      </w:r>
      <w:r>
        <w:rPr>
          <w:rFonts w:ascii="Times New Roman;Times;Serif" w:hAnsi="Times New Roman;Times;Serif"/>
          <w:b/>
          <w:i w:val="false"/>
          <w:caps w:val="false"/>
          <w:smallCaps w:val="false"/>
          <w:sz w:val="20"/>
        </w:rPr>
        <w:t>Initial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Without the consent of any Holder, the Company may, subject to the provisions of this Indenture (including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 xml:space="preserve">2.02), originally issue additional Notes with the same terms as the Initial Notes (except, to the extent applicable, with respect to the date as of which interest begins to accrue on, the first Interest Payment Date for, the Last Original Issue Date of, and, if applicable, transfer restrictions applicable to, such additional Notes), which additional Notes will, subject to the foregoing, be considered to be part of the same series of, and rank equally and ratably with all other, Notes issued under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such additional Notes (and any Notes that are resold after such Notes have been purchased or otherwise acquired by the Company or its Subsidiaries) are not fungible with other Notes issued under this Indenture for U.S. federal income tax purposes, for U.S. federal securities law purposes or for purposes of the Depositary Procedures, then such additional or resold Notes will be identified by one or more separate CUSIP numbers or by no CUSIP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2.04.   Method of Payment.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specified in such request,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Record Date; (y) with respect to any cash Conversion Consideration, the relevant Conversion Date; and (z) with respect to any other payment, the date that is fifteen (15) calendar days immediately before the date such payment is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2.05.   Accrual of Interest; Defaulted Amounts; When Payment Date is Not a Business Day.</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Accrual of Interest</w:t>
      </w:r>
      <w:r>
        <w:rPr>
          <w:rFonts w:ascii="Times New Roman;Times;Serif" w:hAnsi="Times New Roman;Times;Serif"/>
          <w:b w:val="false"/>
          <w:i w:val="false"/>
          <w:caps w:val="false"/>
          <w:smallCaps w:val="false"/>
          <w:sz w:val="20"/>
        </w:rPr>
        <w:t>. Each Note will accrue interest at a rate per annum equal to 2.25% (the “</w:t>
      </w:r>
      <w:r>
        <w:rPr>
          <w:rFonts w:ascii="Times New Roman;Times;Serif" w:hAnsi="Times New Roman;Times;Serif"/>
          <w:b/>
          <w:i w:val="false"/>
          <w:caps w:val="false"/>
          <w:smallCaps w:val="false"/>
          <w:sz w:val="20"/>
        </w:rPr>
        <w:t>Stated Interest</w:t>
      </w:r>
      <w:r>
        <w:rPr>
          <w:rFonts w:ascii="Times New Roman;Times;Serif" w:hAnsi="Times New Roman;Times;Serif"/>
          <w:b w:val="false"/>
          <w:i w:val="false"/>
          <w:caps w:val="false"/>
          <w:smallCaps w:val="false"/>
          <w:sz w:val="20"/>
        </w:rPr>
        <w:t xml:space="preserve">”), plus any Default Interest, Additional Interest and Special Interest that may accrue pursuant to </w:t>
      </w:r>
      <w:r>
        <w:rPr>
          <w:rFonts w:ascii="Times New Roman;Times;Serif" w:hAnsi="Times New Roman;Times;Serif"/>
          <w:b/>
          <w:i w:val="false"/>
          <w:caps w:val="false"/>
          <w:smallCaps w:val="false"/>
          <w:sz w:val="20"/>
        </w:rPr>
        <w:t xml:space="preserve">Sections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2.05(B)</w:t>
      </w:r>
      <w:r>
        <w:rPr>
          <w:rFonts w:ascii="Times New Roman;Times;Serif" w:hAnsi="Times New Roman;Times;Serif"/>
          <w:b w:val="false"/>
          <w:i w:val="false"/>
          <w:caps w:val="false"/>
          <w:smallCaps w:val="false"/>
          <w:sz w:val="20"/>
        </w:rPr>
        <w:t xml:space="preserve">, ‎3.04 and ‎7.03,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Times;Serif" w:hAnsi="Times New Roman;Times;Serif"/>
          <w:b/>
          <w:i w:val="false"/>
          <w:caps w:val="false"/>
          <w:smallCaps w:val="false"/>
          <w:sz w:val="20"/>
        </w:rPr>
        <w:t>Sections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4.02(D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4.03(E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Defaulted Amounts</w:t>
      </w:r>
      <w:r>
        <w:rPr>
          <w:rFonts w:ascii="Times New Roman;Times;Serif" w:hAnsi="Times New Roman;Times;Serif"/>
          <w:b w:val="false"/>
          <w:i w:val="false"/>
          <w:caps w:val="false"/>
          <w:smallCaps w:val="false"/>
          <w:sz w:val="20"/>
        </w:rPr>
        <w:t>. If the Company fails to pay any amount (a “</w:t>
      </w:r>
      <w:r>
        <w:rPr>
          <w:rFonts w:ascii="Times New Roman;Times;Serif" w:hAnsi="Times New Roman;Times;Serif"/>
          <w:b/>
          <w:i w:val="false"/>
          <w:caps w:val="false"/>
          <w:smallCaps w:val="false"/>
          <w:sz w:val="20"/>
        </w:rPr>
        <w:t>Defaulted Amount</w:t>
      </w:r>
      <w:r>
        <w:rPr>
          <w:rFonts w:ascii="Times New Roman;Times;Serif" w:hAnsi="Times New Roman;Times;Serif"/>
          <w:b w:val="false"/>
          <w:i w:val="false"/>
          <w:caps w:val="false"/>
          <w:smallCaps w:val="false"/>
          <w:sz w:val="20"/>
        </w:rPr>
        <w:t>”) payable on a Note on or before the due date 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Delay of Payment When Payment Date is Not a Business Day</w:t>
      </w:r>
      <w:r>
        <w:rPr>
          <w:rFonts w:ascii="Times New Roman;Times;Serif" w:hAnsi="Times New Roman;Times;Serif"/>
          <w:b w:val="false"/>
          <w:i w:val="false"/>
          <w:caps w:val="false"/>
          <w:smallCaps w:val="false"/>
          <w:sz w:val="20"/>
        </w:rPr>
        <w:t>. If the due date for a payment on a Note as provided in this Indenture is not a Business Day, then, notwithstanding anything to the contrary in this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2.06.   Registrar, Paying Agent and Conversion Agent.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maintain (i) an office or agency in the continental United States where Notes may be presented for registration of transfer or for exchange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(ii) an office or agency in the continental United States where Notes may be presented for payment (the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and (iii) an office or agency in the continental United States where Notes may be presented for Conversion (the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If the Company fails to maintain a Registrar, Paying Agent or Conversion Agent, then the Trustee will act as such and will receive compensation therefor in accordance with any other agreement between the Trustee and the Company. For the avoidance of doubt, the Company or any of its Subsidiaries may act as Registrar, Paying Agent or Conversion Agent without prior notice to Holders. Notwithstanding anything to the contrary in this ‎</w:t>
      </w:r>
      <w:r>
        <w:rPr>
          <w:rFonts w:ascii="Times New Roman;Times;Serif" w:hAnsi="Times New Roman;Times;Serif"/>
          <w:b/>
          <w:i w:val="false"/>
          <w:caps w:val="false"/>
          <w:smallCaps w:val="false"/>
          <w:sz w:val="20"/>
        </w:rPr>
        <w:t>Section 2.06(A</w:t>
      </w:r>
      <w:r>
        <w:rPr>
          <w:rFonts w:ascii="Times New Roman;Times;Serif" w:hAnsi="Times New Roman;Times;Serif"/>
          <w:b w:val="false"/>
          <w:i w:val="false"/>
          <w:caps w:val="false"/>
          <w:smallCaps w:val="false"/>
          <w:sz w:val="20"/>
        </w:rPr>
        <w:t>), each of the Registrar, Paying Agent and Conversion Agent with respect to any Global Note must at all times be a Person that is eligible to act in that capacity under the Depositary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Duties of the Registrar</w:t>
      </w:r>
      <w:r>
        <w:rPr>
          <w:rFonts w:ascii="Times New Roman;Times;Serif" w:hAnsi="Times New Roman;Times;Serif"/>
          <w:b w:val="false"/>
          <w:i w:val="false"/>
          <w:caps w:val="false"/>
          <w:smallCaps w:val="false"/>
          <w:sz w:val="20"/>
        </w:rPr>
        <w:t>. The Registrar will keep a record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of the names and addresses of the Holders, 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Co-Agents; Company’s Right to Appoint Successor Registrars, Paying Agents and Conversion Agents</w:t>
      </w:r>
      <w:r>
        <w:rPr>
          <w:rFonts w:ascii="Times New Roman;Times;Serif" w:hAnsi="Times New Roman;Times;Serif"/>
          <w:b w:val="false"/>
          <w:i w:val="false"/>
          <w:caps w:val="false"/>
          <w:smallCaps w:val="false"/>
          <w:sz w:val="20"/>
        </w:rPr>
        <w:t>. The Company may appoint one or more co-Registrars, co-Paying Agents and co-Conversion Agents, each of whom will be deemed to be a Registrar, Paying Agent or Conversion Agent, as applicable, under this Indenture. Subject to ‎</w:t>
      </w:r>
      <w:r>
        <w:rPr>
          <w:rFonts w:ascii="Times New Roman;Times;Serif" w:hAnsi="Times New Roman;Times;Serif"/>
          <w:b/>
          <w:i w:val="false"/>
          <w:caps w:val="false"/>
          <w:smallCaps w:val="false"/>
          <w:sz w:val="20"/>
        </w:rPr>
        <w:t>Section 2.06(A</w:t>
      </w:r>
      <w:r>
        <w:rPr>
          <w:rFonts w:ascii="Times New Roman;Times;Serif" w:hAnsi="Times New Roman;Times;Serif"/>
          <w:b w:val="false"/>
          <w:i w:val="false"/>
          <w:caps w:val="false"/>
          <w:smallCaps w:val="false"/>
          <w:sz w:val="20"/>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Initial Appointments</w:t>
      </w:r>
      <w:r>
        <w:rPr>
          <w:rFonts w:ascii="Times New Roman;Times;Serif" w:hAnsi="Times New Roman;Times;Serif"/>
          <w:b w:val="false"/>
          <w:i w:val="false"/>
          <w:caps w:val="false"/>
          <w:smallCaps w:val="false"/>
          <w:sz w:val="20"/>
        </w:rPr>
        <w:t>. The Company appoints the Trustee as the initial Paying Agent, the initial Registrar and the initial Conversion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2.07.   Paying Agent and Conversion Agent to Hold Property in Trust.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Times;Serif" w:hAnsi="Times New Roman;Times;Serif"/>
          <w:b/>
          <w:i w:val="false"/>
          <w:caps w:val="false"/>
          <w:smallCaps w:val="false"/>
          <w:sz w:val="20"/>
        </w:rPr>
        <w:t>clause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(viii</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(ix</w:t>
      </w:r>
      <w:r>
        <w:rPr>
          <w:rFonts w:ascii="Times New Roman;Times;Serif" w:hAnsi="Times New Roman;Times;Serif"/>
          <w:b w:val="false"/>
          <w:i w:val="false"/>
          <w:caps w:val="false"/>
          <w:smallCaps w:val="false"/>
          <w:sz w:val="20"/>
        </w:rPr>
        <w:t>)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with respect to the Company (or with respect to any Subsidiary of the Company acting as Paying Agent or Conversion Agent), the Trustee will serve as the Paying Agent or Conversion Agent, as applicable, for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2.08.   Holder Lists.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2.09.   Legends.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Each Global Note will bear the Global Note Legend (or any similar legend, not inconsistent with this Indenture, required by the Depositary for such Global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Non-Affiliate Legend</w:t>
      </w:r>
      <w:r>
        <w:rPr>
          <w:rFonts w:ascii="Times New Roman;Times;Serif" w:hAnsi="Times New Roman;Times;Serif"/>
          <w:b w:val="false"/>
          <w:i w:val="false"/>
          <w:caps w:val="false"/>
          <w:smallCaps w:val="false"/>
          <w:sz w:val="20"/>
        </w:rPr>
        <w:t>. Each Note will bear the Non-Affiliate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Restricted Note Legend</w:t>
      </w:r>
      <w:r>
        <w:rPr>
          <w:rFonts w:ascii="Times New Roman;Times;Serif" w:hAnsi="Times New Roman;Times;Serif"/>
          <w:b w:val="false"/>
          <w:i w:val="false"/>
          <w:caps w:val="false"/>
          <w:smallCaps w:val="false"/>
          <w:sz w:val="20"/>
        </w:rPr>
        <w:t>. Subject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Note that is a Transfer-Restricted Security will bear the Restricted Note Legend;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Note is issued in exchange for, in substitution of, or to effect a partial Conversion of, another Note (such other Note being referred to as the “old Note” for purposes of this ‎</w:t>
      </w:r>
      <w:r>
        <w:rPr>
          <w:rFonts w:ascii="Times New Roman;Times;Serif" w:hAnsi="Times New Roman;Times;Serif"/>
          <w:b/>
          <w:i w:val="false"/>
          <w:caps w:val="false"/>
          <w:smallCaps w:val="false"/>
          <w:sz w:val="20"/>
        </w:rPr>
        <w:t>Section 2.09(C)(ii</w:t>
      </w:r>
      <w:r>
        <w:rPr>
          <w:rFonts w:ascii="Times New Roman;Times;Serif" w:hAnsi="Times New Roman;Times;Serif"/>
          <w:b w:val="false"/>
          <w:i w:val="false"/>
          <w:caps w:val="false"/>
          <w:smallCaps w:val="false"/>
          <w:sz w:val="20"/>
        </w:rPr>
        <w:t xml:space="preserve">)), including pursuant to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2.10(B</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2.10(C</w:t>
      </w:r>
      <w:r>
        <w:rPr>
          <w:rFonts w:ascii="Times New Roman;Times;Serif" w:hAnsi="Times New Roman;Times;Serif"/>
          <w:b w:val="false"/>
          <w:i w:val="false"/>
          <w:caps w:val="false"/>
          <w:smallCaps w:val="false"/>
          <w:sz w:val="20"/>
        </w:rPr>
        <w:t xml:space="preserve">), ‎2.11 or ‎2.13, then such Note will bear the Restricted Note Legend if such old Note bore the Restricted Note Legend at the time of such exchange or substitution, or on the related Conversion Date with respect to such Conversion,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Note need not bear the Restricted Note Legend if such Note does not constitute a Transfer-Restricted Security immediately after such exchange or substitution, or as of such Conversion Date,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Other Legends</w:t>
      </w:r>
      <w:r>
        <w:rPr>
          <w:rFonts w:ascii="Times New Roman;Times;Serif" w:hAnsi="Times New Roman;Times;Serif"/>
          <w:b w:val="false"/>
          <w:i w:val="false"/>
          <w:caps w:val="false"/>
          <w:smallCaps w:val="false"/>
          <w:sz w:val="20"/>
        </w:rPr>
        <w:t>. A Note may bear any other legend or text, not inconsistent with this Indenture, as may be required by applicable law or by any securities exchange or automated quotation system on which such Note is traded or quoted.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Acknowledgment and Agreement by the Holders</w:t>
      </w:r>
      <w:r>
        <w:rPr>
          <w:rFonts w:ascii="Times New Roman;Times;Serif" w:hAnsi="Times New Roman;Times;Serif"/>
          <w:b w:val="false"/>
          <w:i w:val="false"/>
          <w:caps w:val="false"/>
          <w:smallCaps w:val="false"/>
          <w:sz w:val="20"/>
        </w:rPr>
        <w:t>. A Holder’s acceptance of any Note bearing any legend required by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2.09 will constitute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acknowledgment of, and agreement to comply with, the restrictions set forth in such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Restricted Stock Legend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Conversion Share need not bear the Restricted Stock Legend if the Company determines, in its reasonable discretion, that such Conversion Share need not bear the Restricted Stock Legend.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in this ‎</w:t>
      </w:r>
      <w:r>
        <w:rPr>
          <w:rFonts w:ascii="Times New Roman;Times;Serif" w:hAnsi="Times New Roman;Times;Serif"/>
          <w:b/>
          <w:i w:val="false"/>
          <w:caps w:val="false"/>
          <w:smallCaps w:val="false"/>
          <w:sz w:val="20"/>
        </w:rPr>
        <w:t>Section 2.09(F</w:t>
      </w:r>
      <w:r>
        <w:rPr>
          <w:rFonts w:ascii="Times New Roman;Times;Serif" w:hAnsi="Times New Roman;Times;Serif"/>
          <w:b w:val="false"/>
          <w:i w:val="false"/>
          <w:caps w:val="false"/>
          <w:smallCaps w:val="false"/>
          <w:sz w:val="20"/>
        </w:rPr>
        <w:t xml:space="preserve">), a Conversion Share need not bear a Restricted Stock Legend if such Conversion Share is issued in an uncertificated form that does not permit affixing legends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Company takes measures (including the assignment thereto of a “restricted” CUSIP number) that it reasonably deems appropriate to enforce the transfer restrictions referred to in the Restricted Stock Legend.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2.10.   Transfers and Exchanges; Certain Transfer Restrictions.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Provisions Applicable to All Transfers and Exchanges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Subject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2.10, Physical Notes and beneficial interests in Global Notes may be transferred or exchanged from time to time, and the Registrar will record each such transfer or exchange of Physical Notes in the Register.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Transferred and Exchanged Notes Remain Valid Obligations of the Company</w:t>
      </w:r>
      <w:r>
        <w:rPr>
          <w:rFonts w:ascii="Times New Roman;Times;Serif" w:hAnsi="Times New Roman;Times;Serif"/>
          <w:b w:val="false"/>
          <w:i w:val="false"/>
          <w:caps w:val="false"/>
          <w:smallCaps w:val="false"/>
          <w:sz w:val="20"/>
        </w:rPr>
        <w:t>. Each Note issued upon transfer or exchange of any other Note (such other Note being referred to as the “old Note” for purposes of this ‎</w:t>
      </w:r>
      <w:r>
        <w:rPr>
          <w:rFonts w:ascii="Times New Roman;Times;Serif" w:hAnsi="Times New Roman;Times;Serif"/>
          <w:b/>
          <w:i w:val="false"/>
          <w:caps w:val="false"/>
          <w:smallCaps w:val="false"/>
          <w:sz w:val="20"/>
        </w:rPr>
        <w:t>Section 2.10(A)(ii</w:t>
      </w:r>
      <w:r>
        <w:rPr>
          <w:rFonts w:ascii="Times New Roman;Times;Serif" w:hAnsi="Times New Roman;Times;Serif"/>
          <w:b w:val="false"/>
          <w:i w:val="false"/>
          <w:caps w:val="false"/>
          <w:smallCaps w:val="false"/>
          <w:sz w:val="20"/>
        </w:rPr>
        <w:t>)) or portion thereof in accordance with this Indenture will be the valid obligation of the Company, evidencing the same indebtedness, and entitled to the same benefits under this Indenture, as such old Note or portion thereof,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No Services Charge; Transfer Taxes</w:t>
      </w:r>
      <w:r>
        <w:rPr>
          <w:rFonts w:ascii="Times New Roman;Times;Serif" w:hAnsi="Times New Roman;Times;Serif"/>
          <w:b w:val="false"/>
          <w:i w:val="false"/>
          <w:caps w:val="false"/>
          <w:smallCaps w:val="false"/>
          <w:sz w:val="20"/>
        </w:rPr>
        <w:t xml:space="preserve">. The Company, the Trustee and the Note Agents will not impose any service charge on any 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xml:space="preserve"> ‎2.11, ‎2.17 or ‎8.05 not involving any transfer.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Transfers and Exchanges Must Be in Authorized Denominations</w:t>
      </w:r>
      <w:r>
        <w:rPr>
          <w:rFonts w:ascii="Times New Roman;Times;Serif" w:hAnsi="Times New Roman;Times;Serif"/>
          <w:b w:val="false"/>
          <w:i w:val="false"/>
          <w:caps w:val="false"/>
          <w:smallCaps w:val="false"/>
          <w:sz w:val="20"/>
        </w:rPr>
        <w:t>. Notwithstanding anything to the contrary in this Indenture or the Notes, a Note may not be transferred or exchanged in part unless the portion to be so transferred or exchanged is in an Authorized Denomination.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Trustee’s Disclaimer</w:t>
      </w:r>
      <w:r>
        <w:rPr>
          <w:rFonts w:ascii="Times New Roman;Times;Serif" w:hAnsi="Times New Roman;Times;Serif"/>
          <w:b w:val="false"/>
          <w:i w:val="false"/>
          <w:caps w:val="false"/>
          <w:smallCaps w:val="false"/>
          <w:sz w:val="20"/>
        </w:rPr>
        <w:t>. The Trustee will have no obligation or duty to monitor, determine or inquire as to compliance with any transfer restrictions imposed 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 Neither the Trustee nor any of its agents will have responsibility for any actions taken or not taken by the Depositary. The Trustee will have no responsibility or obligation to any beneficial owner of 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Redemption Notice) or the payment of any amount or delivery of any Notes (or other security or property) under or with respect to such Notes. All payments to be made to Holders in respect of the Notes will be given or made only to or upon the order of the registered Holders (which is the Depositary or its nominee in the case of a Global Note). The rights of beneficial owners in any Global Note will be exercised only through the Depositary subject to the applicable Depositary Procedures. The Trustee may rely and will be fully protected in relying upon information furnished by the Depositary with respect to its members, participants and any beneficial owners.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caps w:val="false"/>
          <w:smallCaps w:val="false"/>
          <w:sz w:val="20"/>
        </w:rPr>
        <w:t>Legends</w:t>
      </w:r>
      <w:r>
        <w:rPr>
          <w:rFonts w:ascii="Times New Roman;Times;Serif" w:hAnsi="Times New Roman;Times;Serif"/>
          <w:b w:val="false"/>
          <w:i w:val="false"/>
          <w:caps w:val="false"/>
          <w:smallCaps w:val="false"/>
          <w:sz w:val="20"/>
        </w:rPr>
        <w:t>. Each Note issued upon transfer of, or in exchange for, another Note will bear each legend, if any, required by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caps w:val="false"/>
          <w:smallCaps w:val="false"/>
          <w:sz w:val="20"/>
        </w:rPr>
        <w:t>Settlement of Transfers and Exchanges</w:t>
      </w:r>
      <w:r>
        <w:rPr>
          <w:rFonts w:ascii="Times New Roman;Times;Serif" w:hAnsi="Times New Roman;Times;Serif"/>
          <w:b w:val="false"/>
          <w:i w:val="false"/>
          <w:caps w:val="false"/>
          <w:smallCaps w:val="false"/>
          <w:sz w:val="20"/>
        </w:rPr>
        <w:t>. 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For the avoidance of doubt, and subject to the terms of this Indenture, as used in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2.10, an “exchange” 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Transfers and Exchanges of Global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Certain Restrictions</w:t>
      </w:r>
      <w:r>
        <w:rPr>
          <w:rFonts w:ascii="Times New Roman;Times;Serif" w:hAnsi="Times New Roman;Times;Serif"/>
          <w:b w:val="false"/>
          <w:i w:val="false"/>
          <w:caps w:val="false"/>
          <w:smallCaps w:val="false"/>
          <w:sz w:val="20"/>
        </w:rPr>
        <w:t xml:space="preserve">. 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Global Note will be exchanged, pursuant to customary procedures, for one or more Physical Notes if: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(x) the Depositary notifies the Company or the Trustee that the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in its sole discretion, permits the exchange of any beneficial interest in such Global Note for one or more Physical Notes at the request of the owner of such beneficial interest.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Effecting Transfers and Exchanges</w:t>
      </w:r>
      <w:r>
        <w:rPr>
          <w:rFonts w:ascii="Times New Roman;Times;Serif" w:hAnsi="Times New Roman;Times;Serif"/>
          <w:b w:val="false"/>
          <w:i w:val="false"/>
          <w:caps w:val="false"/>
          <w:smallCaps w:val="false"/>
          <w:sz w:val="20"/>
        </w:rPr>
        <w:t>. Upon satisfaction of the requirements of this Indenture to effect a transfer or exchange of any Global Note (or any portion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2.15);</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required to effect such transfer or exchange, then the Trustee will reflect any resulting increase of the principal amount of any other Global Note by notation on the “Schedule of Exchanges of Interests in the Global Note” forming part of such other Global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required to effect such transfer or exchange, then the Company will issue, execute and deliver, and the Trustee will authenticate, in each case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2.02, a new Global Note bearing each legend, if any, required by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2.09;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2.02,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2.09.</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Compliance with Depositary Procedures</w:t>
      </w:r>
      <w:r>
        <w:rPr>
          <w:rFonts w:ascii="Times New Roman;Times;Serif" w:hAnsi="Times New Roman;Times;Serif"/>
          <w:b w:val="false"/>
          <w:i w:val="false"/>
          <w:caps w:val="false"/>
          <w:smallCaps w:val="false"/>
          <w:sz w:val="20"/>
        </w:rPr>
        <w:t>. Each transfer or exchange of a beneficial interest in any Global Note will be made in accordance with the Depositary Procedures.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Transfers and Exchanges of Physical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Requirements for Transfers and Exchanges</w:t>
      </w:r>
      <w:r>
        <w:rPr>
          <w:rFonts w:ascii="Times New Roman;Times;Serif" w:hAnsi="Times New Roman;Times;Serif"/>
          <w:b w:val="false"/>
          <w:i w:val="false"/>
          <w:caps w:val="false"/>
          <w:smallCaps w:val="false"/>
          <w:sz w:val="20"/>
        </w:rPr>
        <w:t>. Subject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 xml:space="preserve">2.10,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effect any such transfer or exchange, such Holder must: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surrender such Physical Note to be transferred or exchanged to the office of the Registrar, together with any endorsements or transfer instruments reasonably required by the Company, the Trustee or the Registrar;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deliver such certificates, documentation or evidence as may be required pursuant to ‎</w:t>
      </w:r>
      <w:r>
        <w:rPr>
          <w:rFonts w:ascii="Times New Roman;Times;Serif" w:hAnsi="Times New Roman;Times;Serif"/>
          <w:b/>
          <w:i w:val="false"/>
          <w:caps w:val="false"/>
          <w:smallCaps w:val="false"/>
          <w:sz w:val="20"/>
        </w:rPr>
        <w:t>Section 2.10(D</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Effecting Transfers and Exchanges</w:t>
      </w:r>
      <w:r>
        <w:rPr>
          <w:rFonts w:ascii="Times New Roman;Times;Serif" w:hAnsi="Times New Roman;Times;Serif"/>
          <w:b w:val="false"/>
          <w:i w:val="false"/>
          <w:caps w:val="false"/>
          <w:smallCaps w:val="false"/>
          <w:sz w:val="20"/>
        </w:rPr>
        <w:t>. Upon the satisfaction of the requirements of this Indenture to effect a transfer or exchange of any Physical Note (such Physical Note being referred to as the “old Physical Note” for purposes of this ‎</w:t>
      </w:r>
      <w:r>
        <w:rPr>
          <w:rFonts w:ascii="Times New Roman;Times;Serif" w:hAnsi="Times New Roman;Times;Serif"/>
          <w:b/>
          <w:i w:val="false"/>
          <w:caps w:val="false"/>
          <w:smallCaps w:val="false"/>
          <w:sz w:val="20"/>
        </w:rPr>
        <w:t>Section 2.10(C)(ii</w:t>
      </w:r>
      <w:r>
        <w:rPr>
          <w:rFonts w:ascii="Times New Roman;Times;Serif" w:hAnsi="Times New Roman;Times;Serif"/>
          <w:b w:val="false"/>
          <w:i w:val="false"/>
          <w:caps w:val="false"/>
          <w:smallCaps w:val="false"/>
          <w:sz w:val="20"/>
        </w:rPr>
        <w:t>)) of a Holder (or any portion of such old Physical Note in an Authorized Denomination):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old Physical Note will be promptly cancelled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2.15;</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such old Physical Note is to be so transferred or exchanged only in part, then the Company will issue, execute and deliver, and the Trustee will authenticate, in each case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2.02,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2.09;</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transfer: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 xml:space="preserve">2.09;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transfer cannot be so effected by</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 on one or more existing Global Notes (whether because no Global Notes bearing each legend, if any, required by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2.09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2.02,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2.09; and</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2.02,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2.09;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the case of an exchange, the Company will issue, execute and deliver, and the Trustee will authenticate, in each case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2.02,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2.09.</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Requirement to Deliver Documentation and Other Evidence</w:t>
      </w:r>
      <w:r>
        <w:rPr>
          <w:rFonts w:ascii="Times New Roman;Times;Serif" w:hAnsi="Times New Roman;Times;Serif"/>
          <w:b w:val="false"/>
          <w:i w:val="false"/>
          <w:caps w:val="false"/>
          <w:smallCaps w:val="false"/>
          <w:sz w:val="20"/>
        </w:rPr>
        <w:t>. If a Holder of any Note that is identified by a “restricted” CUSIP number or that bears a Restricted Note Legend or is a Transfer-Restricted Security requests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such Note to be identified by an “unrestricted” CUSIP number;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remove such Restricted Note Legend;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register the transfer of such Note to the name of another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in order for the Company to determine that such identification, removal or transfer, as applicable, complies with the Securities Act and other applicable securities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certificates, documentation or evidence need be so delivered on or after the Free Trade Date with respect to such Note unless the Company determines, in its reasonable discretion, that such Note is not eligible to be offered, sold or otherwise transferred pursuant to Rule 144 or otherwise without any requirements as to volume, manner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current public information or notice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Transfers of Notes Subject to Redemption, Repurchase or Conversion</w:t>
      </w:r>
      <w:r>
        <w:rPr>
          <w:rFonts w:ascii="Times New Roman;Times;Serif" w:hAnsi="Times New Roman;Times;Serif"/>
          <w:b w:val="false"/>
          <w:i w:val="false"/>
          <w:caps w:val="false"/>
          <w:smallCaps w:val="false"/>
          <w:sz w:val="20"/>
        </w:rPr>
        <w:t xml:space="preserve">. Notwithstanding anything to the contrary in this Indenture or the 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4.02(F</w:t>
      </w:r>
      <w:r>
        <w:rPr>
          <w:rFonts w:ascii="Times New Roman;Times;Serif" w:hAnsi="Times New Roman;Times;Serif"/>
          <w:b w:val="false"/>
          <w:i w:val="false"/>
          <w:caps w:val="false"/>
          <w:smallCaps w:val="false"/>
          <w:sz w:val="20"/>
        </w:rPr>
        <w:t>),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2.11.   Exchange and Cancellation of Notes to Be Converted or to Be Repurchased Pursuant to a Repurchase Upon Fundamental Change or Redemption.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Partial Conversions of Physical Notes and Partial Repurchases of Physical Notes Pursuant to a Repurchase Upon Fundamental Change or Redemption</w:t>
      </w:r>
      <w:r>
        <w:rPr>
          <w:rFonts w:ascii="Times New Roman;Times;Serif" w:hAnsi="Times New Roman;Times;Serif"/>
          <w:b w:val="false"/>
          <w:i w:val="false"/>
          <w:caps w:val="false"/>
          <w:smallCaps w:val="false"/>
          <w:sz w:val="20"/>
        </w:rPr>
        <w:t>. If only a portion of a Physical Note of a Holder is to be Converted pursuant to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or repurchased pursuant to a Repurchase Upon Fundamental Change or Redemption, then, as soon as reasonably practicable after such Physical Note is surrendered for such Conversion or repurchase, as applicable, the Company will cause such Physical Note to be exchanged, pursuant and subject to ‎</w:t>
      </w:r>
      <w:r>
        <w:rPr>
          <w:rFonts w:ascii="Times New Roman;Times;Serif" w:hAnsi="Times New Roman;Times;Serif"/>
          <w:b/>
          <w:i w:val="false"/>
          <w:caps w:val="false"/>
          <w:smallCaps w:val="false"/>
          <w:sz w:val="20"/>
        </w:rPr>
        <w:t>Section 2.10(C</w:t>
      </w:r>
      <w:r>
        <w:rPr>
          <w:rFonts w:ascii="Times New Roman;Times;Serif" w:hAnsi="Times New Roman;Times;Serif"/>
          <w:b w:val="false"/>
          <w:i w:val="false"/>
          <w:caps w:val="false"/>
          <w:smallCaps w:val="false"/>
          <w:sz w:val="20"/>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Physical Note referred to in this </w:t>
      </w:r>
      <w:r>
        <w:rPr>
          <w:rFonts w:ascii="Times New Roman;Times;Serif" w:hAnsi="Times New Roman;Times;Serif"/>
          <w:b/>
          <w:i w:val="false"/>
          <w:caps w:val="false"/>
          <w:smallCaps w:val="false"/>
          <w:sz w:val="20"/>
        </w:rPr>
        <w:t>clause (ii)</w:t>
      </w:r>
      <w:r>
        <w:rPr>
          <w:rFonts w:ascii="Times New Roman;Times;Serif" w:hAnsi="Times New Roman;Times;Serif"/>
          <w:b w:val="false"/>
          <w:i w:val="false"/>
          <w:caps w:val="false"/>
          <w:smallCaps w:val="false"/>
          <w:sz w:val="20"/>
        </w:rPr>
        <w:t xml:space="preserve"> need not be issued at any time after which such principal amount subject to such Conversion or repurchase, as applicable, is deemed to cease to be outstanding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Cancellation of Notes that Are Converted and Notes that Are Repurchased Pursuant to a Repurchase Upon Fundamental Change or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If a Physical Note (or any portion thereof that has not theretofore been exchanged pursuant to ‎</w:t>
      </w:r>
      <w:r>
        <w:rPr>
          <w:rFonts w:ascii="Times New Roman;Times;Serif" w:hAnsi="Times New Roman;Times;Serif"/>
          <w:b/>
          <w:i w:val="false"/>
          <w:caps w:val="false"/>
          <w:smallCaps w:val="false"/>
          <w:sz w:val="20"/>
        </w:rPr>
        <w:t>Section 2.11(A</w:t>
      </w:r>
      <w:r>
        <w:rPr>
          <w:rFonts w:ascii="Times New Roman;Times;Serif" w:hAnsi="Times New Roman;Times;Serif"/>
          <w:b w:val="false"/>
          <w:i w:val="false"/>
          <w:caps w:val="false"/>
          <w:smallCaps w:val="false"/>
          <w:sz w:val="20"/>
        </w:rPr>
        <w:t>)) of a Holder is to be Converted pursuant to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or repurchased pursuant to a Repurchase Upon Fundamental Change or Redemption, then, promptly after the later of the time such Physical Note (or such portion) is deemed to cease to be outstanding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2.18 and the time such Physical Note is surrendered for such Conversion or repurchase, as applicable, (1) such Physical Note will be cancelled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2.15; and (2) in the case of a partial Conversion or repurchase, as applicable, the Company will issue, execute and deliver to such Holder, and the Trustee will authenticate, in each case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2.02,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If a Global Note (or any portion thereof) is to be Converted pursuant to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or repurchased pursuant to a Repurchase Upon Fundamental Change or Redemption, then, promptly after the time such Note (or such portion) is deemed to cease to be outstanding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2.18,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2.12.   Removal of Transfer Restrictions.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any other provision of this Indenture (including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3.04), the Restricted Note Legend affixed to any Note will be deemed,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2.12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 xml:space="preserve">2.12 and the footnotes to the CUSIP and ISIN numbers set forth on the face of the certificate representing such Note, to thereafter bear the “unrestricted” CUSIP and ISIN numbers identified in such footnotes;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3.04 and the definition of Freely Tradable, such Global Note will not be deemed to be identified by “unrestricted” CUSIP and ISIN numbers until such time as such exchange or procedure is effected.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2.13.   Replacement Notes.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Holder of any Note claims that such Note has been mutilated, lost, destroyed or wrongfully taken, then the Company will issue, execute and deliver, and the Trustee will authenticate, in each case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2.02,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reasonably satisfactory to the Company and the Trustee to protect the Company and the Trustee from any loss that any of them may suffer if such Note is replaced. The Company may charge for its and the Trustee’s expenses in replacing a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Note issued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2.13 will be an additional obligation of the Company and will be entitled to all of the benefits of this Indenture equally and ratably with all other Notes issued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2.14.   Registered Holders; Certain Rights with Respect to Global Notes.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2.15.   Cancellation.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Times;Serif" w:hAnsi="Times New Roman;Times;Serif"/>
          <w:b/>
          <w:i w:val="false"/>
          <w:caps w:val="false"/>
          <w:smallCaps w:val="false"/>
          <w:sz w:val="20"/>
        </w:rPr>
        <w:t>Section 2.03(B</w:t>
      </w:r>
      <w:r>
        <w:rPr>
          <w:rFonts w:ascii="Times New Roman;Times;Serif" w:hAnsi="Times New Roman;Times;Serif"/>
          <w:b w:val="false"/>
          <w:i w:val="false"/>
          <w:caps w:val="false"/>
          <w:smallCaps w:val="false"/>
          <w:sz w:val="20"/>
        </w:rPr>
        <w:t>), the Company may not originally issue new Notes to replace Notes that it has paid or that have been cancelled upon transfer, exchange, payment or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2.16.   Notes Held by the Company or its Affiliates.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xml:space="preserve"> ‎2.18, in determining whether the Holders of the required aggregate principal amount of Notes have concurred in any direction, waiver or consent, Notes owned by the Company or any of its Affiliates will be deemed not to be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whether the Trustee is protected in relying on any such direction, waiver or consent, only Notes that a Responsible Officer of the Trustee knows are so owned will be so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2.17.   Temporary Notes.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Notes are ready for delivery, the Company may issue, execute and deliver, and the Trustee will authenticate, in each case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2.02,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2.02, definitive Notes in exchange for temporary Notes. Until so exchanged, each temporary Note will in all respects be entitled to the same benefits under this Indenture as definitive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2.18.   Outstanding Notes.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Notes that are outstanding at any time will be deemed to be those Notes that, at such time, have been duly executed and authenticated, excluding those Notes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thereof) that have theretofore been (i) cancelled by the Trustee or delivered to the Trustee for cancellation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 xml:space="preserve">2.15; (ii) assigned a principal amount of zero by notation on the “Schedule of Exchanges of Interests in the Global Note” forming part of any a Global Note representing such Note; (iii) paid in full (including upon Conversion) in accordance with this Indenture; or (iv) deemed to cease to be outstanding to the extent provided in, and subject to,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of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Replaced Notes</w:t>
      </w:r>
      <w:r>
        <w:rPr>
          <w:rFonts w:ascii="Times New Roman;Times;Serif" w:hAnsi="Times New Roman;Times;Serif"/>
          <w:b w:val="false"/>
          <w:i w:val="false"/>
          <w:caps w:val="false"/>
          <w:smallCaps w:val="false"/>
          <w:sz w:val="20"/>
        </w:rPr>
        <w:t>. If a Note is replaced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2.13, then such Note will cease to be outstanding at the time of its replacement, unless the Trustee and the Company receive proof reasonably satisfactory to them that such Note is held by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purchaser”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Maturing Notes and Notes Called for Redemption or Subject to Repurchase</w:t>
      </w:r>
      <w:r>
        <w:rPr>
          <w:rFonts w:ascii="Times New Roman;Times;Serif" w:hAnsi="Times New Roman;Times;Serif"/>
          <w:b w:val="false"/>
          <w:i w:val="false"/>
          <w:caps w:val="false"/>
          <w:smallCaps w:val="false"/>
          <w:sz w:val="20"/>
        </w:rPr>
        <w:t xml:space="preserve">. If, on a Redemption Date, a Fundamental Change 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4.02(D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4.03(E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Notes to Be Converted</w:t>
      </w:r>
      <w:r>
        <w:rPr>
          <w:rFonts w:ascii="Times New Roman;Times;Serif" w:hAnsi="Times New Roman;Times;Serif"/>
          <w:b w:val="false"/>
          <w:i w:val="false"/>
          <w:caps w:val="false"/>
          <w:smallCaps w:val="false"/>
          <w:sz w:val="20"/>
        </w:rPr>
        <w:t>. At the Close of Business on the Conversion Date for any Note (or any portion thereof) to be Converted, such Note (or such portion) will (unless there occurs a Default in the delivery of the Conversion Consideration or interest due, pursuant to ‎</w:t>
      </w:r>
      <w:r>
        <w:rPr>
          <w:rFonts w:ascii="Times New Roman;Times;Serif" w:hAnsi="Times New Roman;Times;Serif"/>
          <w:b/>
          <w:i w:val="false"/>
          <w:caps w:val="false"/>
          <w:smallCaps w:val="false"/>
          <w:sz w:val="20"/>
        </w:rPr>
        <w:t>Section 5.03(B</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upon such Conversion) be deemed to cease to be outstanding, except to the extent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Cessation of Accrual of Interest</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4.02(D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4.03(E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interest will cease to accrue on each Note from, and including, the date that such Note is deemed,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2.18, to cease to be outstanding, unless there occurs a default in the payment or delivery of any cash or other property due on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2.19.   Repurchases by the Company.</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2.15, the Company may, from time to time, repurchase Notes in open market purchases or in negotiated transactions without delivering prior notice to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2.20.   CUSIP and ISIN Numbers.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 xml:space="preserve">2.12, the Company may use one or more CUSIP or ISIN numbers to identify any of the Notes, and, if so, the Company and the Trustee will use such CUSIP or ISIN number(s) in notices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the Trustee makes no representation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   Covenants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3.01.   Payment on Notes.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pay or cause to be paid all the principal of, the Fundamental Change Repurchase Price and Redemption Price for, interest on, and other amounts due with respect to, the Notes on the dates and in the manner set forth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Deposit of Funds</w:t>
      </w:r>
      <w:r>
        <w:rPr>
          <w:rFonts w:ascii="Times New Roman;Times;Serif" w:hAnsi="Times New Roman;Times;Serif"/>
          <w:b w:val="false"/>
          <w:i w:val="false"/>
          <w:caps w:val="false"/>
          <w:smallCaps w:val="false"/>
          <w:sz w:val="20"/>
        </w:rPr>
        <w:t>. Before 11:00 A.M., New York City time, on each Redemption Date, Fundamental Change Repurchase Date or 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 xml:space="preserve">Section 3.02.   </w:t>
      </w:r>
      <w:r>
        <w:rPr>
          <w:rFonts w:ascii="Times New Roman;Times;Serif" w:hAnsi="Times New Roman;Times;Serif"/>
          <w:b w:val="false"/>
          <w:i w:val="false"/>
          <w:smallCaps/>
          <w:sz w:val="20"/>
        </w:rPr>
        <w:t>Exchange Act Reports.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The Company will send to the Trustee copies of all reports that the Company is required to file with the SEC pursuant to Section 13(a) or 15(d) of the Exchange Act (other than reports on Form 8-K) within fifteen (15) calendar days after the date that the Company is required to file the same (after giving effect to all applicable grace periods under the Exchange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need not send to the Trustee any material for which the Company has received, or is seeking in good faith and has not been denied, confidential treatment by the SEC. Any such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such report that the Company has sent the Trustee pursuant to this ‎</w:t>
      </w:r>
      <w:r>
        <w:rPr>
          <w:rFonts w:ascii="Times New Roman;Times;Serif" w:hAnsi="Times New Roman;Times;Serif"/>
          <w:b/>
          <w:i w:val="false"/>
          <w:caps w:val="false"/>
          <w:smallCaps w:val="false"/>
          <w:sz w:val="20"/>
        </w:rPr>
        <w:t>Section 3.02(A</w:t>
      </w:r>
      <w:r>
        <w:rPr>
          <w:rFonts w:ascii="Times New Roman;Times;Serif" w:hAnsi="Times New Roman;Times;Serif"/>
          <w:b w:val="false"/>
          <w:i w:val="false"/>
          <w:caps w:val="false"/>
          <w:smallCaps w:val="false"/>
          <w:sz w:val="20"/>
        </w:rPr>
        <w:t>), other than such a report that is deemed to be sent to the Trustee pursuant to the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Trustee’s Disclaimer</w:t>
      </w:r>
      <w:r>
        <w:rPr>
          <w:rFonts w:ascii="Times New Roman;Times;Serif" w:hAnsi="Times New Roman;Times;Serif"/>
          <w:b w:val="false"/>
          <w:i w:val="false"/>
          <w:caps w:val="false"/>
          <w:smallCaps w:val="false"/>
          <w:sz w:val="20"/>
        </w:rPr>
        <w:t>. The Trustee need not determine whether the Company has filed any material via the EDGAR system (or such successor). The sending or filing of reports pursuant to ‎</w:t>
      </w:r>
      <w:r>
        <w:rPr>
          <w:rFonts w:ascii="Times New Roman;Times;Serif" w:hAnsi="Times New Roman;Times;Serif"/>
          <w:b/>
          <w:i w:val="false"/>
          <w:caps w:val="false"/>
          <w:smallCaps w:val="false"/>
          <w:sz w:val="20"/>
        </w:rPr>
        <w:t>Section 3.02(A</w:t>
      </w:r>
      <w:r>
        <w:rPr>
          <w:rFonts w:ascii="Times New Roman;Times;Serif" w:hAnsi="Times New Roman;Times;Serif"/>
          <w:b w:val="false"/>
          <w:i w:val="false"/>
          <w:caps w:val="false"/>
          <w:smallCaps w:val="false"/>
          <w:sz w:val="20"/>
        </w:rPr>
        <w:t>) will not be deemed to constitute actual or constructive notice to the Trustee of any information contained, or determinable from information contained, therein, including the Company’s compliance with any of its covenants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3.03.   Rule 144A Information.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Rule 144A(d)(4) under the Securities Act to facilitate the resale of such Notes or shares pursuant to Rule 144A.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3.04.   Additional Interest.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Accrual of Additional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at any time during the six (6) month period beginning on, and including, the date that is six (6) months after the Last Original Issue Date of any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fails to timely file any report (other than Form 8-K reports) that the Company is required to file with the SEC pursuant to Section 13 or 15(d) of the Exchange Act (after giving effect to all applicable grace periods thereunder);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Note is not otherwise Freely Tradable,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Additional Interest will accrue on such Note for each day during such period on which such failure is continuing or such Note is not Freely Tradable.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Additional Interest will accrue on a Note on each day on which such Note is not Freely Tradable on or after the De-Legending Deadline Date for such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Amount and Payment of Additional Interest</w:t>
      </w:r>
      <w:r>
        <w:rPr>
          <w:rFonts w:ascii="Times New Roman;Times;Serif" w:hAnsi="Times New Roman;Times;Serif"/>
          <w:b w:val="false"/>
          <w:i w:val="false"/>
          <w:caps w:val="false"/>
          <w:smallCaps w:val="false"/>
          <w:sz w:val="20"/>
        </w:rPr>
        <w:t>. Subject to ‎</w:t>
      </w:r>
      <w:r>
        <w:rPr>
          <w:rFonts w:ascii="Times New Roman;Times;Serif" w:hAnsi="Times New Roman;Times;Serif"/>
          <w:b/>
          <w:i w:val="false"/>
          <w:caps w:val="false"/>
          <w:smallCaps w:val="false"/>
          <w:sz w:val="20"/>
        </w:rPr>
        <w:t>Section 3.04(C</w:t>
      </w:r>
      <w:r>
        <w:rPr>
          <w:rFonts w:ascii="Times New Roman;Times;Serif" w:hAnsi="Times New Roman;Times;Serif"/>
          <w:b w:val="false"/>
          <w:i w:val="false"/>
          <w:caps w:val="false"/>
          <w:smallCaps w:val="false"/>
          <w:sz w:val="20"/>
        </w:rPr>
        <w:t>), any Additional Interest that accrues on a Note pursuant to ‎</w:t>
      </w:r>
      <w:r>
        <w:rPr>
          <w:rFonts w:ascii="Times New Roman;Times;Serif" w:hAnsi="Times New Roman;Times;Serif"/>
          <w:b/>
          <w:i w:val="false"/>
          <w:caps w:val="false"/>
          <w:smallCaps w:val="false"/>
          <w:sz w:val="20"/>
        </w:rPr>
        <w:t>Section 3.04(A</w:t>
      </w:r>
      <w:r>
        <w:rPr>
          <w:rFonts w:ascii="Times New Roman;Times;Serif" w:hAnsi="Times New Roman;Times;Serif"/>
          <w:b w:val="false"/>
          <w:i w:val="false"/>
          <w:caps w:val="false"/>
          <w:smallCaps w:val="false"/>
          <w:sz w:val="20"/>
        </w:rPr>
        <w:t xml:space="preserve">) will be payable on the same dates and in the same manner as the Stated Interest on such Note and will accrue at a rate per annum equal to one quarter of one percent (0.25%) of the principal amount thereof for the first ninety (90) days on which Additional Interest accrues and, thereafter, at a rate per annum equal to one half of one percent (0.50%) of the principal amount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will Additional Interest that accrues pursuant to this ‎</w:t>
      </w:r>
      <w:r>
        <w:rPr>
          <w:rFonts w:ascii="Times New Roman;Times;Serif" w:hAnsi="Times New Roman;Times;Serif"/>
          <w:b/>
          <w:i w:val="false"/>
          <w:caps w:val="false"/>
          <w:smallCaps w:val="false"/>
          <w:sz w:val="20"/>
        </w:rPr>
        <w:t>Section 3.04(B</w:t>
      </w:r>
      <w:r>
        <w:rPr>
          <w:rFonts w:ascii="Times New Roman;Times;Serif" w:hAnsi="Times New Roman;Times;Serif"/>
          <w:b w:val="false"/>
          <w:i w:val="false"/>
          <w:caps w:val="false"/>
          <w:smallCaps w:val="false"/>
          <w:sz w:val="20"/>
        </w:rPr>
        <w:t>) (excluding any interest that accrues on any Deferred Additional Interest pursuant to ‎</w:t>
      </w:r>
      <w:r>
        <w:rPr>
          <w:rFonts w:ascii="Times New Roman;Times;Serif" w:hAnsi="Times New Roman;Times;Serif"/>
          <w:b/>
          <w:i w:val="false"/>
          <w:caps w:val="false"/>
          <w:smallCaps w:val="false"/>
          <w:sz w:val="20"/>
        </w:rPr>
        <w:t>Section 3.04(C)</w:t>
      </w:r>
      <w:r>
        <w:rPr>
          <w:rFonts w:ascii="Times New Roman;Times;Serif" w:hAnsi="Times New Roman;Times;Serif"/>
          <w:b w:val="false"/>
          <w:i w:val="false"/>
          <w:caps w:val="false"/>
          <w:smallCaps w:val="false"/>
          <w:sz w:val="20"/>
        </w:rPr>
        <w:t>) as a result of the Company’s failure to timely file any document or report that it is required to file with the SEC pursuant to Section 13 or 15(d) of the Exchange Act, as applicable (other than reports on Form 8-K), together with any Special Interest that accrues at the Company’s election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7.03 for a Reporting Event of Default, accrue on any day on a Note at a combined rate per annum that exceeds one half of one percent (0.50%).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Deferral of Additional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Notwithstanding anything to the contrary in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3.04, but subject to ‎</w:t>
      </w:r>
      <w:r>
        <w:rPr>
          <w:rFonts w:ascii="Times New Roman;Times;Serif" w:hAnsi="Times New Roman;Times;Serif"/>
          <w:b/>
          <w:i w:val="false"/>
          <w:caps w:val="false"/>
          <w:smallCaps w:val="false"/>
          <w:sz w:val="20"/>
        </w:rPr>
        <w:t>Section 3.04(C)(iii</w:t>
      </w:r>
      <w:r>
        <w:rPr>
          <w:rFonts w:ascii="Times New Roman;Times;Serif" w:hAnsi="Times New Roman;Times;Serif"/>
          <w:b w:val="false"/>
          <w:i w:val="false"/>
          <w:caps w:val="false"/>
          <w:smallCaps w:val="false"/>
          <w:sz w:val="20"/>
        </w:rPr>
        <w:t>), Additional Interest that accrues on any Note for any period on or after the De-Legending Deadline Date of such Note will not be payable on any Interest Payment Date occurring on or after such De-Legending Deadline Date unless (1) a Holder (or an owner of a beneficial interest in a Global Note) has delivered to the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and the Trustee, before the Regular Record Date immediately before such Interest Payment Date, a written notice (a “</w:t>
      </w:r>
      <w:r>
        <w:rPr>
          <w:rFonts w:ascii="Times New Roman;Times;Serif" w:hAnsi="Times New Roman;Times;Serif"/>
          <w:b/>
          <w:i w:val="false"/>
          <w:caps w:val="false"/>
          <w:smallCaps w:val="false"/>
          <w:sz w:val="20"/>
        </w:rPr>
        <w:t>Deferred Additional Interest Demand Request</w:t>
      </w:r>
      <w:r>
        <w:rPr>
          <w:rFonts w:ascii="Times New Roman;Times;Serif" w:hAnsi="Times New Roman;Times;Serif"/>
          <w:b w:val="false"/>
          <w:i w:val="false"/>
          <w:caps w:val="false"/>
          <w:smallCaps w:val="false"/>
          <w:sz w:val="20"/>
        </w:rPr>
        <w:t>”) demanding payment of Additional Interest; or (2) the Company, in its sole and absolute discretion, elects, by sending notice of such election (a “</w:t>
      </w:r>
      <w:r>
        <w:rPr>
          <w:rFonts w:ascii="Times New Roman;Times;Serif" w:hAnsi="Times New Roman;Times;Serif"/>
          <w:b/>
          <w:i w:val="false"/>
          <w:caps w:val="false"/>
          <w:smallCaps w:val="false"/>
          <w:sz w:val="20"/>
        </w:rPr>
        <w:t>Notice of Election to Pay Deferred Additional Interest</w:t>
      </w:r>
      <w:r>
        <w:rPr>
          <w:rFonts w:ascii="Times New Roman;Times;Serif" w:hAnsi="Times New Roman;Times;Serif"/>
          <w:b w:val="false"/>
          <w:i w:val="false"/>
          <w:caps w:val="false"/>
          <w:smallCaps w:val="false"/>
          <w:sz w:val="20"/>
        </w:rPr>
        <w:t>”) to Holders before such Regular Record Date (with a copy to the Trustee), to pay such Additional Interest on such Interest Payment Date (any accrued and unpaid Additional Interest that, in accordance with this sentence, is not paid on such Interest Payment Date, “</w:t>
      </w:r>
      <w:r>
        <w:rPr>
          <w:rFonts w:ascii="Times New Roman;Times;Serif" w:hAnsi="Times New Roman;Times;Serif"/>
          <w:b/>
          <w:i w:val="false"/>
          <w:caps w:val="false"/>
          <w:smallCaps w:val="false"/>
          <w:sz w:val="20"/>
        </w:rPr>
        <w:t>Deferred Additional Interest</w:t>
      </w:r>
      <w:r>
        <w:rPr>
          <w:rFonts w:ascii="Times New Roman;Times;Serif" w:hAnsi="Times New Roman;Times;Serif"/>
          <w:b w:val="false"/>
          <w:i w:val="false"/>
          <w:caps w:val="false"/>
          <w:smallCaps w:val="false"/>
          <w:sz w:val="20"/>
        </w:rPr>
        <w:t xml:space="preserve">”). Without further action by the Company, or any other Person, interest will automatically accrue on such Deferred Additional Interest from, and including, such Interest Payment Date at a rate per annum equal to the rate per annum at which Stated Interest accrues on the Notes to, but excluding, the date on which such Deferred Additional Interest, together with accrued interest thereon, is paid. Once any accrued and unpaid Additional Interest becomes payable on an Interest Payment Date (whether as a result of the delivery of a written notice pursuant to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above or, if earlier, the Company’s election to pay the same pursuant to </w:t>
      </w:r>
      <w:r>
        <w:rPr>
          <w:rFonts w:ascii="Times New Roman;Times;Serif" w:hAnsi="Times New Roman;Times;Serif"/>
          <w:b/>
          <w:i w:val="false"/>
          <w:caps w:val="false"/>
          <w:smallCaps w:val="false"/>
          <w:sz w:val="20"/>
        </w:rPr>
        <w:t>clause (2)</w:t>
      </w:r>
      <w:r>
        <w:rPr>
          <w:rFonts w:ascii="Times New Roman;Times;Serif" w:hAnsi="Times New Roman;Times;Serif"/>
          <w:b w:val="false"/>
          <w:i w:val="false"/>
          <w:caps w:val="false"/>
          <w:smallCaps w:val="false"/>
          <w:sz w:val="20"/>
        </w:rPr>
        <w:t xml:space="preserve"> above), Additional Interest will thereafter not be subject to deferral pursuant to this ‎</w:t>
      </w:r>
      <w:r>
        <w:rPr>
          <w:rFonts w:ascii="Times New Roman;Times;Serif" w:hAnsi="Times New Roman;Times;Serif"/>
          <w:b/>
          <w:i w:val="false"/>
          <w:caps w:val="false"/>
          <w:smallCaps w:val="false"/>
          <w:sz w:val="20"/>
        </w:rPr>
        <w:t>Section 3.04(C)</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Interpretive Provisions</w:t>
      </w:r>
      <w:r>
        <w:rPr>
          <w:rFonts w:ascii="Times New Roman;Times;Serif" w:hAnsi="Times New Roman;Times;Serif"/>
          <w:b w:val="false"/>
          <w:i w:val="false"/>
          <w:caps w:val="false"/>
          <w:smallCaps w:val="false"/>
          <w:sz w:val="20"/>
        </w:rPr>
        <w:t>. Each reference in this Indenture or the Notes to any accrued interest (including in the definitions of the Redemption Price and the Fundamental Change Repurchase Price for any Note) or to any accrued Additional Interest includes, to the extent applicable, and without duplication, any Deferred Additional Interest, together with accrued and unpaid interest thereon. For the avoidance of doubt, the failure to pay any accrued and unpaid Additional Interest on an Interest Payment Date will not constitute a Default or an Event of Default under this Indenture or the Notes if such payment is deferred in accordance with ‎</w:t>
      </w:r>
      <w:r>
        <w:rPr>
          <w:rFonts w:ascii="Times New Roman;Times;Serif" w:hAnsi="Times New Roman;Times;Serif"/>
          <w:b/>
          <w:i w:val="false"/>
          <w:caps w:val="false"/>
          <w:smallCaps w:val="false"/>
          <w:sz w:val="20"/>
        </w:rPr>
        <w:t>Section 3.04(C)(i</w:t>
      </w:r>
      <w:r>
        <w:rPr>
          <w:rFonts w:ascii="Times New Roman;Times;Serif" w:hAnsi="Times New Roman;Times;Serif"/>
          <w:b w:val="false"/>
          <w:i w:val="false"/>
          <w:caps w:val="false"/>
          <w:smallCaps w:val="false"/>
          <w:sz w:val="20"/>
        </w:rPr>
        <w:t>). Otherwise, such a failure to pay will be subject to ‎</w:t>
      </w:r>
      <w:r>
        <w:rPr>
          <w:rFonts w:ascii="Times New Roman;Times;Serif" w:hAnsi="Times New Roman;Times;Serif"/>
          <w:b/>
          <w:i w:val="false"/>
          <w:caps w:val="false"/>
          <w:smallCaps w:val="false"/>
          <w:sz w:val="20"/>
        </w:rPr>
        <w:t>Section 7.01(A)(ii</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Payment or Extinguishment Upon Maturity</w:t>
      </w:r>
      <w:r>
        <w:rPr>
          <w:rFonts w:ascii="Times New Roman;Times;Serif" w:hAnsi="Times New Roman;Times;Serif"/>
          <w:b w:val="false"/>
          <w:i w:val="false"/>
          <w:caps w:val="false"/>
          <w:smallCaps w:val="false"/>
          <w:sz w:val="20"/>
        </w:rPr>
        <w:t>. Notwithstanding anything to the contrary in this Indenture or the Notes, if (1) any unpaid Deferred Additional Interest exists on any Notes as of the Close of Business on the Regular Record Date immediately preceding the Maturity Date; (2) no Holder (or owner of a beneficial interest in a Global Note) has delivered a Deferred Additional Interest Demand Request in the manner set forth in ‎</w:t>
      </w:r>
      <w:r>
        <w:rPr>
          <w:rFonts w:ascii="Times New Roman;Times;Serif" w:hAnsi="Times New Roman;Times;Serif"/>
          <w:b/>
          <w:i w:val="false"/>
          <w:caps w:val="false"/>
          <w:smallCaps w:val="false"/>
          <w:sz w:val="20"/>
        </w:rPr>
        <w:t>Section 3.04(C)(i</w:t>
      </w:r>
      <w:r>
        <w:rPr>
          <w:rFonts w:ascii="Times New Roman;Times;Serif" w:hAnsi="Times New Roman;Times;Serif"/>
          <w:b w:val="false"/>
          <w:i w:val="false"/>
          <w:caps w:val="false"/>
          <w:smallCaps w:val="false"/>
          <w:sz w:val="20"/>
        </w:rPr>
        <w:t>) before such Regular Record Date; and (3) the Company has not sent a Notice of Election to Pay Deferred Additional Interest in the manner set forth in ‎</w:t>
      </w:r>
      <w:r>
        <w:rPr>
          <w:rFonts w:ascii="Times New Roman;Times;Serif" w:hAnsi="Times New Roman;Times;Serif"/>
          <w:b/>
          <w:i w:val="false"/>
          <w:caps w:val="false"/>
          <w:smallCaps w:val="false"/>
          <w:sz w:val="20"/>
        </w:rPr>
        <w:t>Section 3.04(C)(i</w:t>
      </w:r>
      <w:r>
        <w:rPr>
          <w:rFonts w:ascii="Times New Roman;Times;Serif" w:hAnsi="Times New Roman;Times;Serif"/>
          <w:b w:val="false"/>
          <w:i w:val="false"/>
          <w:caps w:val="false"/>
          <w:smallCaps w:val="false"/>
          <w:sz w:val="20"/>
        </w:rPr>
        <w:t xml:space="preserve">) before such Regular Record Date, then Deferred Additional Interest on each Note then outstanding will cease to accrue, and all Deferred Additional Interest, together with interest thereon, on such Note will be deemed to be extinguished on the following date: (a) if such Note is to be Converted, the Conversion Date for such Conversion (it being understood, for the avoidance of doubt, that the Conversion Consideration therefor need not include, and the amount referred to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need not include, the payment of any such Deferred Additional Interest or any interest thereon); and (b) in all other cases, the later of (x) the Maturity Date; and (y) the first date on which the Company has repaid the principal of, and accrued and unpaid interest (other than such Deferred Additional Interest and any interest thereon) on, such Note in full.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Notice of Accrual of Additional Interest; Trustee’s Disclaimer</w:t>
      </w:r>
      <w:r>
        <w:rPr>
          <w:rFonts w:ascii="Times New Roman;Times;Serif" w:hAnsi="Times New Roman;Times;Serif"/>
          <w:b w:val="false"/>
          <w:i w:val="false"/>
          <w:caps w:val="false"/>
          <w:smallCaps w:val="false"/>
          <w:sz w:val="20"/>
        </w:rPr>
        <w:t>. The Company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 notice to the Holder of each Note, and to the Trustee, of the commencement and termination of any period in which Additional Interest accrues on such Note, except that no such notice is required in respect of any Additional Interest that is deferred in accordance with ‎</w:t>
      </w:r>
      <w:r>
        <w:rPr>
          <w:rFonts w:ascii="Times New Roman;Times;Serif" w:hAnsi="Times New Roman;Times;Serif"/>
          <w:b/>
          <w:i w:val="false"/>
          <w:caps w:val="false"/>
          <w:smallCaps w:val="false"/>
          <w:sz w:val="20"/>
        </w:rPr>
        <w:t>Section 3.04(C)</w:t>
      </w:r>
      <w:r>
        <w:rPr>
          <w:rFonts w:ascii="Times New Roman;Times;Serif" w:hAnsi="Times New Roman;Times;Serif"/>
          <w:b w:val="false"/>
          <w:i w:val="false"/>
          <w:caps w:val="false"/>
          <w:smallCaps w:val="false"/>
          <w:sz w:val="20"/>
        </w:rPr>
        <w:t>.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whether the same is deferred or is accruing interest) or the amount thereof and may assume without inquiry that no Additional Interest is payable or has been deferred until written notice of such Additional Interest has been provided to the Trustee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Exclusive Remedy</w:t>
      </w:r>
      <w:r>
        <w:rPr>
          <w:rFonts w:ascii="Times New Roman;Times;Serif" w:hAnsi="Times New Roman;Times;Serif"/>
          <w:b w:val="false"/>
          <w:i w:val="false"/>
          <w:caps w:val="false"/>
          <w:smallCaps w:val="false"/>
          <w:sz w:val="20"/>
        </w:rPr>
        <w:t>. The accrual of Additional Interest will be the exclusive remedy available to Holders for the failure of their Notes to become Freely Tradable.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3.05.   Compliance and Default Certificates.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Annual Compliance Certificate</w:t>
      </w:r>
      <w:r>
        <w:rPr>
          <w:rFonts w:ascii="Times New Roman;Times;Serif" w:hAnsi="Times New Roman;Times;Serif"/>
          <w:b w:val="false"/>
          <w:i w:val="false"/>
          <w:caps w:val="false"/>
          <w:smallCaps w:val="false"/>
          <w:sz w:val="20"/>
        </w:rPr>
        <w:t>. Within ninety (90) days after the last day of each fiscal year of the Company, beginning with the first such fiscal year ending after the date of this Indenture,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Default Certificate</w:t>
      </w:r>
      <w:r>
        <w:rPr>
          <w:rFonts w:ascii="Times New Roman;Times;Serif" w:hAnsi="Times New Roman;Times;Serif"/>
          <w:b w:val="false"/>
          <w:i w:val="false"/>
          <w:caps w:val="false"/>
          <w:smallCaps w:val="false"/>
          <w:sz w:val="20"/>
        </w:rPr>
        <w:t>. If a Default or Event of Default occurs, then the Company will, within thirty (30) days after its first occurrence, deliver an Officer’s Certificate to the Trustee describing the same and what action the Company is taking or proposes to take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3.06.   Stay, Extension and Usury Laws.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3.07.   Acquisition of Notes by the Company and its Affiliates.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2.18, Notes that the Company or any of its Subsidiaries have purchased or otherwise acquired will be deemed to remain outstanding (except to the extent provided in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2.16) until such time as such Notes are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cancellation. The Company will use commercially reasonable efforts to prevent any of its controlled Affiliates from acquiring any Note (or any beneficial interest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3.08.   Existence.</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6, the Company will do or cause to be done all things necessary to preserve and keep in full force and effect its corporate existence.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   Repurchase and Redemption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4.01.   No Sinking Fund.</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sinking fund is required to be provided for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4.02.   Right of Holders to Require the Company to Repurchase Notes Upon a Fundamental Change.</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Right of Holders to Require the Company to Repurchase Notes Upon a Fundamental Change</w:t>
      </w:r>
      <w:r>
        <w:rPr>
          <w:rFonts w:ascii="Times New Roman;Times;Serif" w:hAnsi="Times New Roman;Times;Serif"/>
          <w:b w:val="false"/>
          <w:i w:val="false"/>
          <w:caps w:val="false"/>
          <w:smallCaps w:val="false"/>
          <w:sz w:val="20"/>
        </w:rPr>
        <w:t>. Subject to the other terms of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 if a Fundamental Change occurs, then each Holder will have the right (the “</w:t>
      </w:r>
      <w:r>
        <w:rPr>
          <w:rFonts w:ascii="Times New Roman;Times;Serif" w:hAnsi="Times New Roman;Times;Serif"/>
          <w:b/>
          <w:i w:val="false"/>
          <w:caps w:val="false"/>
          <w:smallCaps w:val="false"/>
          <w:sz w:val="20"/>
        </w:rPr>
        <w:t>Fundamental Change Repurchase Right</w:t>
      </w:r>
      <w:r>
        <w:rPr>
          <w:rFonts w:ascii="Times New Roman;Times;Serif" w:hAnsi="Times New Roman;Times;Serif"/>
          <w:b w:val="false"/>
          <w:i w:val="false"/>
          <w:caps w:val="false"/>
          <w:smallCaps w:val="false"/>
          <w:sz w:val="20"/>
        </w:rPr>
        <w:t>”) to require the Company to repurchase such Holder’s Notes (or any portion thereof in an Authorized Denomination) on the Fundamental Change Repurchase Date for such Fundamental Change for a cash purchase price equal to the Fundamental Change Repurchase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Repurchase Prohibited in Certain Circumstances</w:t>
      </w:r>
      <w:r>
        <w:rPr>
          <w:rFonts w:ascii="Times New Roman;Times;Serif" w:hAnsi="Times New Roman;Times;Serif"/>
          <w:b w:val="false"/>
          <w:i w:val="false"/>
          <w:caps w:val="false"/>
          <w:smallCaps w:val="false"/>
          <w:sz w:val="20"/>
        </w:rPr>
        <w:t>. If the principal amount of the Notes has been accelerated and such acceleration has not been rescinded on or before the Fundamental Change Repurchase Date for a Repurchase Upon Fundamental Change (except in the case of an acceleration resulting from a Default by the Company in the payment of the Fundamental Change Repurchase Price with respect to such Notes), then (i) the Company may not repurchase any Notes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Fundamental Change Repurchase Date</w:t>
      </w:r>
      <w:r>
        <w:rPr>
          <w:rFonts w:ascii="Times New Roman;Times;Serif" w:hAnsi="Times New Roman;Times;Serif"/>
          <w:b w:val="false"/>
          <w:i w:val="false"/>
          <w:caps w:val="false"/>
          <w:smallCaps w:val="false"/>
          <w:sz w:val="20"/>
        </w:rPr>
        <w:t>. The Fundamental Change Repurchase Date for any Fundamental Change will be a Business Day of the Company’s choosing that is no more than thirty five (35), nor less than twenty (20), Business Days after the date the Company sends the related Fundamental Change Notice pursuant to ‎</w:t>
      </w:r>
      <w:r>
        <w:rPr>
          <w:rFonts w:ascii="Times New Roman;Times;Serif" w:hAnsi="Times New Roman;Times;Serif"/>
          <w:b/>
          <w:i w:val="false"/>
          <w:caps w:val="false"/>
          <w:smallCaps w:val="false"/>
          <w:sz w:val="20"/>
        </w:rPr>
        <w:t>Section 4.02(E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Fundamental Change Repurchase Price</w:t>
      </w:r>
      <w:r>
        <w:rPr>
          <w:rFonts w:ascii="Times New Roman;Times;Serif" w:hAnsi="Times New Roman;Times;Serif"/>
          <w:b w:val="false"/>
          <w:i w:val="false"/>
          <w:caps w:val="false"/>
          <w:smallCaps w:val="false"/>
          <w:sz w:val="20"/>
        </w:rPr>
        <w:t xml:space="preserve">. The Fundamental Change Repurchase Price for any Note to be 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on the next Business Day to Holders as of the Close of Business on the immediately preceding Regular Record Date; and (y) the Fundamental Change Repurchase Price will include interest on Notes to be repurchased from, and including, such Interest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Fundamental Change Notice</w:t>
      </w:r>
      <w:r>
        <w:rPr>
          <w:rFonts w:ascii="Times New Roman;Times;Serif" w:hAnsi="Times New Roman;Times;Serif"/>
          <w:b w:val="false"/>
          <w:i w:val="false"/>
          <w:caps w:val="false"/>
          <w:smallCaps w:val="false"/>
          <w:sz w:val="20"/>
        </w:rPr>
        <w:t>. On or before the twentieth (20th) calendar day after the effective date of a Fundamental Change, the Company will send to each Holder, the Trustee, the Conversion Agent and the Paying Agent a notice of such Fundamental Change (a “</w:t>
      </w:r>
      <w:r>
        <w:rPr>
          <w:rFonts w:ascii="Times New Roman;Times;Serif" w:hAnsi="Times New Roman;Times;Serif"/>
          <w:b/>
          <w:i w:val="false"/>
          <w:caps w:val="false"/>
          <w:smallCaps w:val="false"/>
          <w:sz w:val="20"/>
        </w:rPr>
        <w:t>Fundamental Change Notice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Fundamental Change Notice must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briefly, the events causing such Fundamental 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such Fundamental 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procedures that a Holder must follow to require the Company to repurchase its Notes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 including the deadline for exercising the Fundamental Change Repurchase Right and the procedures for submitting and withdrawing a Fundamental Change Repurchase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Fundamental Change Repurchase Date for such Fundamental 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 and the Conversion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Conversion Rate in effect on the date of such Fundamental Change Notice and a description and quantification of any adjustments to the Conversion Rate that may result from such Fundamental Change (including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5.07);</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Notes for which a Fundamental Change Repurchase Notice has been duly surrendered and not duly withdrawn must be delivered to the Paying Agent for the Holder thereof to be entitled to receive the Fundamental Change Repurchase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that Notes (or any portion thereof) that are subject to a Fundamental Change Repurchase Notice that has been duly surrendered may be Converted only if such Fundamental Change Repurchase Notice is withdrawn in accordance with this Indenture;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CUSIP and ISIN numbers, if any, of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Procedures to Exercise the Fundamental Change Repurchase Right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Delivery of Fundamental Change Repurchase Notice and Notes to Be Repurchased</w:t>
      </w:r>
      <w:r>
        <w:rPr>
          <w:rFonts w:ascii="Times New Roman;Times;Serif" w:hAnsi="Times New Roman;Times;Serif"/>
          <w:b w:val="false"/>
          <w:i w:val="false"/>
          <w:caps w:val="false"/>
          <w:smallCaps w:val="false"/>
          <w:sz w:val="20"/>
        </w:rPr>
        <w:t>. To exercise its Fundamental Change Repurchase Right for a Note following a Fundamental Change, the Holder thereof must deliver to the Paying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before the Close of Business on the Business Day immediately before the related Fundamental Change Repurchase Date (or such later time as may be required by law), a duly completed, written Fundamental Change Repurchase Notice with respect to such Note;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Note, duly endorsed for transfer (if such Note is a Physical Note) or by book-entry transfer (if such Note is a Global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will promptly deliver to the Company a copy of each Fundamental Change Repurchase Notice that it receives.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Contents of Fundamental Change Repurchase Notices</w:t>
      </w:r>
      <w:r>
        <w:rPr>
          <w:rFonts w:ascii="Times New Roman;Times;Serif" w:hAnsi="Times New Roman;Times;Serif"/>
          <w:b w:val="false"/>
          <w:i w:val="false"/>
          <w:caps w:val="false"/>
          <w:smallCaps w:val="false"/>
          <w:sz w:val="20"/>
        </w:rPr>
        <w:t>. Each Fundamental Change Repurchase Notice with respect to a Note must state: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such Note is a Physical Note, the certificate number of such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amount of such Note to be repurchased, which must be an Authorized Denomination;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such Holder is exercising its Fundamental Change Repurchase Right with respect to such principal amount of such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Withdrawal of Fundamental Change Repurchase Notice</w:t>
      </w:r>
      <w:r>
        <w:rPr>
          <w:rFonts w:ascii="Times New Roman;Times;Serif" w:hAnsi="Times New Roman;Times;Serif"/>
          <w:b w:val="false"/>
          <w:i w:val="false"/>
          <w:caps w:val="false"/>
          <w:smallCaps w:val="false"/>
          <w:sz w:val="20"/>
        </w:rPr>
        <w:t>. A Holder that has delivered a Fundamental Change Repurchase Notice with respect to a Note may withdraw such Fundamental Change Repurchase Notice by delivering a written notice of withdrawal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Paying Agent at any time before the Close of Business on the Business Day immediately before the related Fundamental Change Repurchase Date. Such withdrawal notice must state: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such Note is a Physical Note, the certificate number of such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amount of such Note to be withdrawn, which must be an Authorized Denomination;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principal amount of such Note, if any, that remains subject to such Fundamental Change Repurchase Notice, which must be an Authorized Denomination;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2.11,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Payment of the Fundamental Change Repurchase Price</w:t>
      </w:r>
      <w:r>
        <w:rPr>
          <w:rFonts w:ascii="Times New Roman;Times;Serif" w:hAnsi="Times New Roman;Times;Serif"/>
          <w:b w:val="false"/>
          <w:i w:val="false"/>
          <w:caps w:val="false"/>
          <w:smallCaps w:val="false"/>
          <w:sz w:val="20"/>
        </w:rPr>
        <w:t>. Without limiting the Company’s obligation to deposit the Fundamental Change Repurchase Price within the time proscribed by ‎</w:t>
      </w:r>
      <w:r>
        <w:rPr>
          <w:rFonts w:ascii="Times New Roman;Times;Serif" w:hAnsi="Times New Roman;Times;Serif"/>
          <w:b/>
          <w:i w:val="false"/>
          <w:caps w:val="false"/>
          <w:smallCaps w:val="false"/>
          <w:sz w:val="20"/>
        </w:rPr>
        <w:t>Section 3.01(B</w:t>
      </w:r>
      <w:r>
        <w:rPr>
          <w:rFonts w:ascii="Times New Roman;Times;Serif" w:hAnsi="Times New Roman;Times;Serif"/>
          <w:b w:val="false"/>
          <w:i w:val="false"/>
          <w:caps w:val="false"/>
          <w:smallCaps w:val="false"/>
          <w:sz w:val="20"/>
        </w:rPr>
        <w:t>),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Times;Serif" w:hAnsi="Times New Roman;Times;Serif"/>
          <w:b/>
          <w:i w:val="false"/>
          <w:caps w:val="false"/>
          <w:smallCaps w:val="false"/>
          <w:sz w:val="20"/>
        </w:rPr>
        <w:t>Section 4.02(G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Third Party May Conduct Repurchase Offer In Lieu of the Company</w:t>
      </w:r>
      <w:r>
        <w:rPr>
          <w:rFonts w:ascii="Times New Roman;Times;Serif" w:hAnsi="Times New Roman;Times;Serif"/>
          <w:b w:val="false"/>
          <w:i w:val="false"/>
          <w:caps w:val="false"/>
          <w:smallCaps w:val="false"/>
          <w:sz w:val="20"/>
        </w:rPr>
        <w:t>. Notwithstanding anything to the contrary in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 the Company will be deemed to satisfy its obligations under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 if (i) one or more third parties conduct any Repurchase Upon Fundamental Change and related offer to repurchase Notes otherwise required by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 in a manner that would have satisfied the requirements of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conducted directly by the Company; and (ii) an owner of a beneficial interest in any Note repurchased by such third party or parties will not receive a lesser amount (as a result of withholding or other similar taxes) than such owner would have received had the Company repurchased such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No Requirement to Conduct an Offer to Repurchase Notes if the Fundamental Change Results in the Notes Becoming Convertible into an Amount of Cash Exceeding the Fundamental Change Repurchase Price</w:t>
      </w:r>
      <w:r>
        <w:rPr>
          <w:rFonts w:ascii="Times New Roman;Times;Serif" w:hAnsi="Times New Roman;Times;Serif"/>
          <w:b w:val="false"/>
          <w:i w:val="false"/>
          <w:caps w:val="false"/>
          <w:smallCaps w:val="false"/>
          <w:sz w:val="20"/>
        </w:rPr>
        <w:t>. Notwithstanding anything to the contrary in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 the Company will not be required to send a Fundamental Change Notice pursuant to ‎</w:t>
      </w:r>
      <w:r>
        <w:rPr>
          <w:rFonts w:ascii="Times New Roman;Times;Serif" w:hAnsi="Times New Roman;Times;Serif"/>
          <w:b/>
          <w:i w:val="false"/>
          <w:caps w:val="false"/>
          <w:smallCaps w:val="false"/>
          <w:sz w:val="20"/>
        </w:rPr>
        <w:t>Section 4.02(E</w:t>
      </w:r>
      <w:r>
        <w:rPr>
          <w:rFonts w:ascii="Times New Roman;Times;Serif" w:hAnsi="Times New Roman;Times;Serif"/>
          <w:b w:val="false"/>
          <w:i w:val="false"/>
          <w:caps w:val="false"/>
          <w:smallCaps w:val="false"/>
          <w:sz w:val="20"/>
        </w:rPr>
        <w:t>), or offer to repurchase or repurchase any Notes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 xml:space="preserve">4.02, in connection with a Common Stock Change Event that constitutes a Fundamental Change pursuant to </w:t>
      </w:r>
      <w:r>
        <w:rPr>
          <w:rFonts w:ascii="Times New Roman;Times;Serif" w:hAnsi="Times New Roman;Times;Serif"/>
          <w:b/>
          <w:i w:val="false"/>
          <w:caps w:val="false"/>
          <w:smallCaps w:val="false"/>
          <w:sz w:val="20"/>
        </w:rPr>
        <w:t>clause (B)(ii)</w:t>
      </w:r>
      <w:r>
        <w:rPr>
          <w:rFonts w:ascii="Times New Roman;Times;Serif" w:hAnsi="Times New Roman;Times;Serif"/>
          <w:b w:val="false"/>
          <w:i w:val="false"/>
          <w:caps w:val="false"/>
          <w:smallCaps w:val="false"/>
          <w:sz w:val="20"/>
        </w:rPr>
        <w:t xml:space="preserve"> of the definition thereof (regardless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Convertible, pursuant to ‎</w:t>
      </w:r>
      <w:r>
        <w:rPr>
          <w:rFonts w:ascii="Times New Roman;Times;Serif" w:hAnsi="Times New Roman;Times;Serif"/>
          <w:b/>
          <w:i w:val="false"/>
          <w:caps w:val="false"/>
          <w:smallCaps w:val="false"/>
          <w:sz w:val="20"/>
        </w:rPr>
        <w:t>Section 5.09(A</w:t>
      </w:r>
      <w:r>
        <w:rPr>
          <w:rFonts w:ascii="Times New Roman;Times;Serif" w:hAnsi="Times New Roman;Times;Serif"/>
          <w:b w:val="false"/>
          <w:i w:val="false"/>
          <w:caps w:val="false"/>
          <w:smallCaps w:val="false"/>
          <w:sz w:val="20"/>
        </w:rPr>
        <w:t>) and, if applicable,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5.07, into consideration that consists solely of U.S. dollars in an amount per $1,000 aggregate principal amount of Notes that equals or exceeds the Fundamental Change Repurchase Price per $1,000 aggregate principal amount of Notes (calculated assuming that the same includes the maximum amount of accrued interest payable as part of the related Fundamental Change Repurchase Price); and (iii) the Company timely sends the notice relating to such Fundamental Change required pursuant to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and includes, in such notice, a statement that the Company is relying on this ‎</w:t>
      </w:r>
      <w:r>
        <w:rPr>
          <w:rFonts w:ascii="Times New Roman;Times;Serif" w:hAnsi="Times New Roman;Times;Serif"/>
          <w:b/>
          <w:i w:val="false"/>
          <w:caps w:val="false"/>
          <w:smallCaps w:val="false"/>
          <w:sz w:val="20"/>
        </w:rPr>
        <w:t>Section 4.02(I</w:t>
      </w:r>
      <w:r>
        <w:rPr>
          <w:rFonts w:ascii="Times New Roman;Times;Serif" w:hAnsi="Times New Roman;Times;Serif"/>
          <w:b w:val="false"/>
          <w:i w:val="false"/>
          <w:caps w:val="false"/>
          <w:smallCaps w:val="false"/>
          <w:sz w:val="20"/>
        </w:rPr>
        <w:t>). For the avoidance of doubt, the maximum amount of accrued interest referred to in clause (ii) above will be determined (x) by assuming that the Fundamental Change Repurchase Date occurs on the latest possible date permitted for the applicable Fundamental Change pursuant to ‎</w:t>
      </w:r>
      <w:r>
        <w:rPr>
          <w:rFonts w:ascii="Times New Roman;Times;Serif" w:hAnsi="Times New Roman;Times;Serif"/>
          <w:b/>
          <w:i w:val="false"/>
          <w:caps w:val="false"/>
          <w:smallCaps w:val="false"/>
          <w:sz w:val="20"/>
        </w:rPr>
        <w:t>Section 4.02(E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Section 4.02(C</w:t>
      </w:r>
      <w:r>
        <w:rPr>
          <w:rFonts w:ascii="Times New Roman;Times;Serif" w:hAnsi="Times New Roman;Times;Serif"/>
          <w:b w:val="false"/>
          <w:i w:val="false"/>
          <w:caps w:val="false"/>
          <w:smallCaps w:val="false"/>
          <w:sz w:val="20"/>
        </w:rPr>
        <w:t>); and (y) without regard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Compliance with Applicable Securities Laws</w:t>
      </w:r>
      <w:r>
        <w:rPr>
          <w:rFonts w:ascii="Times New Roman;Times;Serif" w:hAnsi="Times New Roman;Times;Serif"/>
          <w:b w:val="false"/>
          <w:i w:val="false"/>
          <w:caps w:val="false"/>
          <w:smallCaps w:val="false"/>
          <w:sz w:val="20"/>
        </w:rPr>
        <w:t xml:space="preserve">. To the extent applicable, the Company will comply, in all material respects, with all U.S.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that the Company’s obligations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 conflict with any law or regulation that is applicable to the Company and enacted after the Issue Date, the Company’s compliance with such law or regulation will not be considered to be a Default of such obligations; rather, the Company will be deemed to be in compliance with such obligations if the Company complies with its obligation to effect Repurchases Upon a Fundamental Change in accordance with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 modified as necessary by the Company in good faith to permit compliance with such law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Repurchase in Part</w:t>
      </w:r>
      <w:r>
        <w:rPr>
          <w:rFonts w:ascii="Times New Roman;Times;Serif" w:hAnsi="Times New Roman;Times;Serif"/>
          <w:b w:val="false"/>
          <w:i w:val="false"/>
          <w:caps w:val="false"/>
          <w:smallCaps w:val="false"/>
          <w:sz w:val="20"/>
        </w:rPr>
        <w:t>. Subject to the terms of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 Notes may be repurchased pursuant to a Repurchase Upon Fundamental Change in part, but only in Authorized Denominations. Provisions of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4.02 applying to the repurchase of a Note in whole will equally apply to the repurchase of a permitted portion of a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4.03.   Right of the Company to Redeem the Notes.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 Right to Redeem Before September 1, 2027.</w:t>
      </w:r>
      <w:r>
        <w:rPr>
          <w:rFonts w:ascii="Times New Roman;Times;Serif" w:hAnsi="Times New Roman;Times;Serif"/>
          <w:b w:val="false"/>
          <w:i w:val="false"/>
          <w:caps w:val="false"/>
          <w:smallCaps w:val="false"/>
          <w:sz w:val="20"/>
        </w:rPr>
        <w:t xml:space="preserve"> The Company may not redeem the Notes at its option at any time before September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Right to Redeem the Notes on or After September 1, 2027.</w:t>
      </w:r>
      <w:r>
        <w:rPr>
          <w:rFonts w:ascii="Times New Roman;Times;Serif" w:hAnsi="Times New Roman;Times;Serif"/>
          <w:b w:val="false"/>
          <w:i w:val="false"/>
          <w:caps w:val="false"/>
          <w:smallCaps w:val="false"/>
          <w:sz w:val="20"/>
        </w:rPr>
        <w:t xml:space="preserve"> Subject to the terms of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 xml:space="preserve">4.03, the Company has the right, at its election, to redeem all, or any portion in an Authorized Denomination, of the Notes, at any time, and from time to time, on a Redemption Date on or after September 1, 2027 and on or before the sixty first (61st) Scheduled Trading Day immediately before the Maturity Date, for a cash purchase price equal to the Redemption Price, but only if (i) the Notes are Freely Tradable as of the related Redemption Notice Date and all accrued and unpaid Additional Interest, if any, has been paid in full as of the first Interest Payment Date occurring on or before such Redemption Notice Date; and (ii) the Last Reported Sale Price per share of Common Stock exceeds one hundred and thirty percent (130%) of the Conversion Price on (x) each of at least twenty (20) Trading Days (whether or not consecutive) during the thirty (30) consecutive Trading Days ending on, and including, the Trading Day immediately before such Redemption Notice Date; and (y) the Trading Day immediately before such Redemption Notice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will not call less than all of the outstanding Notes for Redemption unless the excess of the principal amount of Notes outstanding as of the time the Company sends the related Redemption Notice over the aggregate principal amount of Notes set forth in such Redemption Notice as being subject to such Redemption is at least seventy five million dollars ($75,000,000). For the avoidance of doubt, the calling of any Notes for Redemption will constitute a Make-Whole Fundamental Change with respect to such Notes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Redemption Prohibited in Certain Circumstances</w:t>
      </w:r>
      <w:r>
        <w:rPr>
          <w:rFonts w:ascii="Times New Roman;Times;Serif" w:hAnsi="Times New Roman;Times;Serif"/>
          <w:b w:val="false"/>
          <w:i w:val="false"/>
          <w:caps w:val="false"/>
          <w:smallCaps w:val="false"/>
          <w:sz w:val="20"/>
        </w:rPr>
        <w:t>. If the principal amount of the Notes has been accelerated and such acceleration has not been rescinded on or before the Redemption Date (except in the case of an acceleration resulting from a Default by the Company in the payment of the Redemption Price with respect to such Notes), then (i) the Company may not call for Redemption or otherwise redeem any Notes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4.03;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Redemption Date</w:t>
      </w:r>
      <w:r>
        <w:rPr>
          <w:rFonts w:ascii="Times New Roman;Times;Serif" w:hAnsi="Times New Roman;Times;Serif"/>
          <w:b w:val="false"/>
          <w:i w:val="false"/>
          <w:caps w:val="false"/>
          <w:smallCaps w:val="false"/>
          <w:sz w:val="20"/>
        </w:rPr>
        <w:t>. The Redemption Date for any Redemption will be a Business Day of the Company’s choosing that is no more than eighty five (85), nor less than sixty five (65), Scheduled Trading Days after the Redemption Notice Date for such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Redemption Price</w:t>
      </w:r>
      <w:r>
        <w:rPr>
          <w:rFonts w:ascii="Times New Roman;Times;Serif" w:hAnsi="Times New Roman;Times;Serif"/>
          <w:b w:val="false"/>
          <w:i w:val="false"/>
          <w:caps w:val="false"/>
          <w:smallCaps w:val="false"/>
          <w:sz w:val="20"/>
        </w:rPr>
        <w:t xml:space="preserve">. The Redemption Price for any Note called for Redemption is an amount in cash equal to the principal amount of such Note plus accrued and unpaid interest on such Note to, but excluding, the Redemption Date for such Redemption;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and such Redemption Date occurs on the Business Day immediately after such Interest Payment Date, then (x) accrued and unpaid interest on Notes to, but excluding, such Interest Payment Date will be paid, in accordance with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on the next Business Day to Holders as of the Close of Business on the immediately preceding Regular Record Date; and (y) the Redemption Price will include interest on Notes to be redeemed from, and including, such Interest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Redemption Notice</w:t>
      </w:r>
      <w:r>
        <w:rPr>
          <w:rFonts w:ascii="Times New Roman;Times;Serif" w:hAnsi="Times New Roman;Times;Serif"/>
          <w:b w:val="false"/>
          <w:i w:val="false"/>
          <w:caps w:val="false"/>
          <w:smallCaps w:val="false"/>
          <w:sz w:val="20"/>
        </w:rPr>
        <w:t>. To call any Notes for Redemption, the Company must send to each Holder of such Notes a written notice of such Redemption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Redemption Notice must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such Notes have been called for Redemption, briefly describing the Company’s Redemption right under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Date for such Redemption;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name and address of the Paying Agent and the Conversion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Notes called for Redemption may be Converted at any time before the Close of Business on the second (2nd) Business Day immediately before the Redemption Date (or, if the Company fails to pay the Redemption Price due on such Redemption Date in full, at any time until such time as the Company pays such Redemption Price in full);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Conversion Rate in effect on the Redemption Notice Date for such Redemption and a description and quantification of any adjustments to the Conversion Rate that may result from such Redemption (including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5.07);</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Settlement Method that will apply to all Conversions of Notes with a Conversion Date that occurs on or after such Redemption Notice Date and on or before the second (2nd) Business Day before such Redemption Date;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CUSIP and ISIN numbers, if any, of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Redemption Notice Date, the Company will send a copy of such Redemption Notice to the Trustee, the Conversion Agent and the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Selection and Conversion of Notes to Be Redeemed in Part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less than all Notes then outstanding are called for Redemption, then the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be redeemed will be selected by the Company as follows: (1) in the case of Global Notes, in accordance with the Depositary Procedures; and (2) in the case of Physical Notes, pro rata, by lot or by such other method the Company considers fair and appropriate.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only a portion of a Note is subject to Redemption and such Note is Converted in part, then the Converted portion of such Note will be deemed to be from the portion of such Note that was subject to Redemption.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Payment of the Redemption Price</w:t>
      </w:r>
      <w:r>
        <w:rPr>
          <w:rFonts w:ascii="Times New Roman;Times;Serif" w:hAnsi="Times New Roman;Times;Serif"/>
          <w:b w:val="false"/>
          <w:i w:val="false"/>
          <w:caps w:val="false"/>
          <w:smallCaps w:val="false"/>
          <w:sz w:val="20"/>
        </w:rPr>
        <w:t>. Without limiting the Company’s obligation to deposit the Redemption Price by the time proscribed by ‎</w:t>
      </w:r>
      <w:r>
        <w:rPr>
          <w:rFonts w:ascii="Times New Roman;Times;Serif" w:hAnsi="Times New Roman;Times;Serif"/>
          <w:b/>
          <w:i w:val="false"/>
          <w:caps w:val="false"/>
          <w:smallCaps w:val="false"/>
          <w:sz w:val="20"/>
        </w:rPr>
        <w:t>Section 3.01(B</w:t>
      </w:r>
      <w:r>
        <w:rPr>
          <w:rFonts w:ascii="Times New Roman;Times;Serif" w:hAnsi="Times New Roman;Times;Serif"/>
          <w:b w:val="false"/>
          <w:i w:val="false"/>
          <w:caps w:val="false"/>
          <w:smallCaps w:val="false"/>
          <w:sz w:val="20"/>
        </w:rPr>
        <w:t>), the Company will cause the Redemption Price for a Note (or portion thereof) subject to Redemption to be paid to the Holder thereof on or before the applicable Redemption Date. For the avoidance of doubt, interest payable pursuant to the proviso to the first sentence of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 on any Note (or portion thereof) subject to Redemption must be paid pursuant to such proviso.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Special Provisions for Partial Calls</w:t>
      </w:r>
      <w:r>
        <w:rPr>
          <w:rFonts w:ascii="Times New Roman;Times;Serif" w:hAnsi="Times New Roman;Times;Serif"/>
          <w:b w:val="false"/>
          <w:i w:val="false"/>
          <w:caps w:val="false"/>
          <w:smallCaps w:val="false"/>
          <w:sz w:val="20"/>
        </w:rPr>
        <w:t>. If the Company elects to redeem less than all of the outstanding Notes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4.03, and the Holder of any Note, or any owner of a beneficial interest in any Global Note, is reasonably not able to determine, before the Close of Business on the sixty second (62nd) Scheduled Trading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before the Close of Business on the second (2nd) Business Day immediately before such Redemption Date, and each such Conversion will be deemed to be of a Note called for Redemption for purposes of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 xml:space="preserve">4.03 and </w:t>
      </w:r>
      <w:r>
        <w:rPr>
          <w:rFonts w:ascii="Times New Roman;Times;Serif" w:hAnsi="Times New Roman;Times;Serif"/>
          <w:b/>
          <w:i w:val="false"/>
          <w:caps w:val="false"/>
          <w:smallCaps w:val="false"/>
          <w:sz w:val="20"/>
        </w:rPr>
        <w:t>Sections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5.01(C)(i)(4</w:t>
      </w:r>
      <w:r>
        <w:rPr>
          <w:rFonts w:ascii="Times New Roman;Times;Serif" w:hAnsi="Times New Roman;Times;Serif"/>
          <w:b w:val="false"/>
          <w:i w:val="false"/>
          <w:caps w:val="false"/>
          <w:smallCaps w:val="false"/>
          <w:sz w:val="20"/>
        </w:rPr>
        <w:t>) and ‎5.07. For the avoidance of doubt, each reference in this Indenture or the Notes to (x) any Note that is called for Redemption (or similar language) includes any Note that is deemed to be called for Redemption pursuant to this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and (y) any Note that is not called for Redemption (or similar language) excludes any Note that is deemed to be called for Redemption pursuant to this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   The Conversion of Notes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5.01.   Right to Convert.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Subject to the provisions of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each Holder may, at its option, Convert such Holder’s Notes into Conversion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Conversions in Part</w:t>
      </w:r>
      <w:r>
        <w:rPr>
          <w:rFonts w:ascii="Times New Roman;Times;Serif" w:hAnsi="Times New Roman;Times;Serif"/>
          <w:b w:val="false"/>
          <w:i w:val="false"/>
          <w:caps w:val="false"/>
          <w:smallCaps w:val="false"/>
          <w:sz w:val="20"/>
        </w:rPr>
        <w:t>. Subject to the terms of this Indenture, Notes may be Converted in part, but only in Authorized Denominations. Provisions of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applying to the Conversion of a Note in whole will equally apply to Conversions of a permitted portion of a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When Notes May Be Converted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Subject to ‎</w:t>
      </w:r>
      <w:r>
        <w:rPr>
          <w:rFonts w:ascii="Times New Roman;Times;Serif" w:hAnsi="Times New Roman;Times;Serif"/>
          <w:b/>
          <w:i w:val="false"/>
          <w:caps w:val="false"/>
          <w:smallCaps w:val="false"/>
          <w:sz w:val="20"/>
        </w:rPr>
        <w:t>Section 5.01(C)(ii</w:t>
      </w:r>
      <w:r>
        <w:rPr>
          <w:rFonts w:ascii="Times New Roman;Times;Serif" w:hAnsi="Times New Roman;Times;Serif"/>
          <w:b w:val="false"/>
          <w:i w:val="false"/>
          <w:caps w:val="false"/>
          <w:smallCaps w:val="false"/>
          <w:sz w:val="20"/>
        </w:rPr>
        <w:t>), a Note may be Converted only in the following circumstances: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Conversion Upon Satisfaction of Common Stock Sale Price Condition</w:t>
      </w:r>
      <w:r>
        <w:rPr>
          <w:rFonts w:ascii="Times New Roman;Times;Serif" w:hAnsi="Times New Roman;Times;Serif"/>
          <w:b w:val="false"/>
          <w:i w:val="false"/>
          <w:caps w:val="false"/>
          <w:smallCaps w:val="false"/>
          <w:sz w:val="20"/>
        </w:rPr>
        <w:t>. Before the Close of Business on the Business Day immediately before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2029, a Holder may Convert its Notes during any calendar quarter (and only during such calendar quarter) commencing after the calendar quarter ending on September 30, 2024,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Conversion Upon Satisfaction of Note Trading Price Condition</w:t>
      </w:r>
      <w:r>
        <w:rPr>
          <w:rFonts w:ascii="Times New Roman;Times;Serif" w:hAnsi="Times New Roman;Times;Serif"/>
          <w:b w:val="false"/>
          <w:i w:val="false"/>
          <w:caps w:val="false"/>
          <w:smallCaps w:val="false"/>
          <w:sz w:val="20"/>
        </w:rPr>
        <w:t>. Before the Close of Business on the Business Day immediately before June 1, 2029, a Holder may Convert its Notes during the five (5) consecutive Business Days immediately after any ten (10) consecutive Trading Day period (such ten (10) consecutive Trading Day period, the “</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Times New Roman;Times;Serif" w:hAnsi="Times New Roman;Times;Serif"/>
          <w:b/>
          <w:i w:val="false"/>
          <w:caps w:val="false"/>
          <w:smallCaps w:val="false"/>
          <w:sz w:val="20"/>
        </w:rPr>
        <w:t>Trading Price Condition</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will be determined by the Bid Solicitation Agent pursuant to this ‎</w:t>
      </w:r>
      <w:r>
        <w:rPr>
          <w:rFonts w:ascii="Times New Roman;Times;Serif" w:hAnsi="Times New Roman;Times;Serif"/>
          <w:b/>
          <w:i w:val="false"/>
          <w:caps w:val="false"/>
          <w:smallCaps w:val="false"/>
          <w:sz w:val="20"/>
        </w:rPr>
        <w:t>Section 5.01(C)(i)(2</w:t>
      </w:r>
      <w:r>
        <w:rPr>
          <w:rFonts w:ascii="Times New Roman;Times;Serif" w:hAnsi="Times New Roman;Times;Serif"/>
          <w:b w:val="false"/>
          <w:i w:val="false"/>
          <w:caps w:val="false"/>
          <w:smallCaps w:val="false"/>
          <w:sz w:val="20"/>
        </w:rPr>
        <w:t>)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or Holders of at least five million dollars ($5,000,000) aggregate principal amount of Notes (or such lesser amount as may then be outstanding) provides the Company with reasonable evidence that the Trading Price per $1,000 principal amount of Notes would be less than ninety eight percent (98%) of the product of the Last Reported Sale Price per share of Common Stock and the Conversion Rate. If such Holder(s) provide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Conversion Upon Specified Corporate Events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Certain Distributions</w:t>
      </w:r>
      <w:r>
        <w:rPr>
          <w:rFonts w:ascii="Times New Roman;Times;Serif" w:hAnsi="Times New Roman;Times;Serif"/>
          <w:b w:val="false"/>
          <w:i w:val="false"/>
          <w:caps w:val="false"/>
          <w:smallCaps w:val="false"/>
          <w:sz w:val="20"/>
        </w:rPr>
        <w:t>. If, before the Close of Business on the Business Day immediately before June 1, 2029, the Company elects to:</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upon their separation from the Common Stock or upon the occurrence of such triggering event) entitling them, for a period of not more than sixty (60) calendar days after the date such distribution is first publicly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first publicly announced (determined in the manner set forth in the third paragraph of ‎</w:t>
      </w:r>
      <w:r>
        <w:rPr>
          <w:rFonts w:ascii="Times New Roman;Times;Serif" w:hAnsi="Times New Roman;Times;Serif"/>
          <w:b/>
          <w:i w:val="false"/>
          <w:caps w:val="false"/>
          <w:smallCaps w:val="false"/>
          <w:sz w:val="20"/>
        </w:rPr>
        <w:t>Section 5.05(A)(ii</w:t>
      </w:r>
      <w:r>
        <w:rPr>
          <w:rFonts w:ascii="Times New Roman;Times;Serif" w:hAnsi="Times New Roman;Times;Serif"/>
          <w:b w:val="false"/>
          <w:i w:val="false"/>
          <w:caps w:val="false"/>
          <w:smallCaps w:val="false"/>
          <w:sz w:val="20"/>
        </w:rPr>
        <w:t>)); or</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distribute, to all or substantially all holders of Common Stock, assets or securities of the Company or rights to purchase the Company’s securities, which distribution per share of Common Stock has a value, as reasonably determined by the Company in good faith, exceeding ten percent (10%) of the Last Reported Sale Price per share of Common Stock on the Trading Day immediately before the date such distribution is first publicly announced,</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either case, (x) the Company will send notice of such distribution, and of the related right to Convert Notes, to Holders, the Trustee and the Conversion Agent at least sixty five (65) Scheduled Trading Days before the Ex-Dividend Date for such distribution (or, if later in the case of any such separation of rights issued pursuant to a stockholder rights plan or the occurrence of any such triggering event under a stockholder rights plan, no later than the Business Day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Notes will not become Convertible pursuant to </w:t>
      </w:r>
      <w:r>
        <w:rPr>
          <w:rFonts w:ascii="Times New Roman;Times;Serif" w:hAnsi="Times New Roman;Times;Serif"/>
          <w:b/>
          <w:i w:val="false"/>
          <w:caps w:val="false"/>
          <w:smallCaps w:val="false"/>
          <w:sz w:val="20"/>
        </w:rPr>
        <w:t xml:space="preserve">clause (y) </w:t>
      </w:r>
      <w:r>
        <w:rPr>
          <w:rFonts w:ascii="Times New Roman;Times;Serif" w:hAnsi="Times New Roman;Times;Serif"/>
          <w:b w:val="false"/>
          <w:i w:val="false"/>
          <w:caps w:val="false"/>
          <w:smallCaps w:val="false"/>
          <w:sz w:val="20"/>
        </w:rPr>
        <w:t>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 (ii) the aggregate principal amount (expressed in thousands) of Notes held by such Holder on such record date.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Certain Corporate Events</w:t>
      </w:r>
      <w:r>
        <w:rPr>
          <w:rFonts w:ascii="Times New Roman;Times;Serif" w:hAnsi="Times New Roman;Times;Serif"/>
          <w:b w:val="false"/>
          <w:i w:val="false"/>
          <w:caps w:val="false"/>
          <w:smallCaps w:val="false"/>
          <w:sz w:val="20"/>
        </w:rPr>
        <w:t xml:space="preserve">. If, before the Close of Business on the Business Day immediately before June 1, 2029, a Fundamental Change, Make-Whole Fundamental Change (other than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Company does not provide the notice referred to in the immediately following sentence by the Business Day after such effective date, then the last day on which the Notes are Convertible pursuant to this sentence will be extended by the number of Business Days from, and including, the Business Day after such effective date to, but excluding, the date the Company provides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last day will not be extended beyond the second (2nd) Scheduled Trading Day immediately before the Maturity Date. No later than the Business Day after such effective date, the Company will send notice to the Holders, the Trustee and the Conversion Agent of such transaction or event, such effective date and the related right to Convert Notes.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Conversion Upon Redemption</w:t>
      </w:r>
      <w:r>
        <w:rPr>
          <w:rFonts w:ascii="Times New Roman;Times;Serif" w:hAnsi="Times New Roman;Times;Serif"/>
          <w:b w:val="false"/>
          <w:i w:val="false"/>
          <w:caps w:val="false"/>
          <w:smallCaps w:val="false"/>
          <w:sz w:val="20"/>
        </w:rPr>
        <w:t>. If the Company calls any Note for Redemption, then the Holder of such Note may Convert such Note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Conversions During Free Convertibility Period</w:t>
      </w:r>
      <w:r>
        <w:rPr>
          <w:rFonts w:ascii="Times New Roman;Times;Serif" w:hAnsi="Times New Roman;Times;Serif"/>
          <w:b w:val="false"/>
          <w:i w:val="false"/>
          <w:caps w:val="false"/>
          <w:smallCaps w:val="false"/>
          <w:sz w:val="20"/>
        </w:rPr>
        <w:t>. A Holder may Convert its Notes at any time from, and including, June 1, 2029 until the Close of Business on the second (2nd) Scheduled Trading Day immediately before the Maturity Date regardless of the conditions set forth in sub-paragraphs ‎</w:t>
      </w: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Notes may become Convertible pursuant to any one or more of the preceding sub-paragraphs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 and the Notes ceasing to be Convertible pursuant to a particular sub-paragraph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 will not preclude the Notes from being Convertible pursuant to any other sub-paragraph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Limitations and Closed Periods</w:t>
      </w:r>
      <w:r>
        <w:rPr>
          <w:rFonts w:ascii="Times New Roman;Times;Serif" w:hAnsi="Times New Roman;Times;Serif"/>
          <w:b w:val="false"/>
          <w:i w:val="false"/>
          <w:caps w:val="false"/>
          <w:smallCaps w:val="false"/>
          <w:sz w:val="20"/>
        </w:rPr>
        <w:t>. Notwithstanding anything to the contrary in this Indenture or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Notes may be surrendered for Conversion during a period when the Notes are Convertible pursuant to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only after the Open of Business and before the Close of Business on a day that is a Business Day;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no event may any Note be Converted after the Close of Business on the second (2nd) Scheduled Trading Day immediately before the Maturity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Company calls any Note for Redemption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4.03, then the Holder of such Note may not Convert such Note after the Close of Business on the second (2nd) Business Day immediately before the applicable Redemption Date, except to the extent the Company fails to pay the Redemption Price for such Note in accordance with this Indenture;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if a Fundamental Change Repurchase Notice is validly delivered pursuant to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xml:space="preserve">) with respect to any Note, then such Note may not be Converted, except to the extent (a) such Note is not subject to such notice; (b) such notice is withdrawn in accordance with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or (c) the Company fails to pay the Fundamental Change Repurchase Price for such Note in accordance with this Indenture (or a third party fails to make such payment in lieu of the Company in accordance with ‎</w:t>
      </w:r>
      <w:r>
        <w:rPr>
          <w:rFonts w:ascii="Times New Roman;Times;Serif" w:hAnsi="Times New Roman;Times;Serif"/>
          <w:b/>
          <w:i w:val="false"/>
          <w:caps w:val="false"/>
          <w:smallCaps w:val="false"/>
          <w:sz w:val="20"/>
        </w:rPr>
        <w:t>Section 4.02(H</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5.02.   Conversion Procedures.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To Convert a beneficial interest in a Global Note that is Convertible pursuant to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the owner of such beneficial interest must (1) comply with the Depositary Procedures for Converting such beneficial interest (at which time such Conversion will become irrevocable); and (2) pay any amounts due pursuant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Section 5.02(E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To Convert all or a portion of a Physical Note that is Convertible pursuant to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the Holder of such 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Section 5.02(E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Effect of Converting a Note</w:t>
      </w:r>
      <w:r>
        <w:rPr>
          <w:rFonts w:ascii="Times New Roman;Times;Serif" w:hAnsi="Times New Roman;Times;Serif"/>
          <w:b w:val="false"/>
          <w:i w:val="false"/>
          <w:caps w:val="false"/>
          <w:smallCaps w:val="false"/>
          <w:sz w:val="20"/>
        </w:rPr>
        <w:t xml:space="preserve">. At the Close of Business on the Conversion Date for a Note (or any portion thereof) to be Converted, such Note (or such portion) will (unless there occurs a Default in the delivery of the Conversion Consideration or interest due, pursuant to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5.03(B</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upon such Conversion) be deemed to cease to be outstanding (and, for the avoidance of doubt, no Person will be deemed to be a Holder of such Note (or such portion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such Conversion Date), except to the extent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Holder of Record of Conversion Shares</w:t>
      </w:r>
      <w:r>
        <w:rPr>
          <w:rFonts w:ascii="Times New Roman;Times;Serif" w:hAnsi="Times New Roman;Times;Serif"/>
          <w:b w:val="false"/>
          <w:i w:val="false"/>
          <w:caps w:val="false"/>
          <w:smallCaps w:val="false"/>
          <w:sz w:val="20"/>
        </w:rPr>
        <w:t>. The Person in whose name any share of Common Stock is issuable upon Conversion of any Note will be deemed to become the holder of record of such share as of the Close of Business on the last VWAP Trading Day of the Observation Period for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Interest Payable Upon Conversion in Certain Circumstances</w:t>
      </w:r>
      <w:r>
        <w:rPr>
          <w:rFonts w:ascii="Times New Roman;Times;Serif" w:hAnsi="Times New Roman;Times;Serif"/>
          <w:b w:val="false"/>
          <w:i w:val="false"/>
          <w:caps w:val="false"/>
          <w:smallCaps w:val="false"/>
          <w:sz w:val="20"/>
        </w:rPr>
        <w:t xml:space="preserve">. If the Conversion Date of a Note is after a Regular Record Date and 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Holder surrendering such Note for Conversion need not deliver such cash (v) if the Company has specified a Redemption Date that is after such Regular Record Date and on or before the second (2nd) Business Day immediately after such Interest Payment Date; (w) if such Conversion Date occurs after the Regular Record Date immediately before the Maturity Date; (x) if the Company has specified a Fundamental Change Repurchase Date that is after such Regular Record Date and on or before the Business Day immediately after such Interest Payment Date; or (y) to the extent of any Additional Interest, Special Interest,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Taxes and Duties</w:t>
      </w:r>
      <w:r>
        <w:rPr>
          <w:rFonts w:ascii="Times New Roman;Times;Serif" w:hAnsi="Times New Roman;Times;Serif"/>
          <w:b w:val="false"/>
          <w:i w:val="false"/>
          <w:caps w:val="false"/>
          <w:smallCaps w:val="false"/>
          <w:sz w:val="20"/>
        </w:rPr>
        <w:t xml:space="preserve">. If a Holder Converts a Note, the Company will pay any documentary, stamp or similar issue or transfer tax or duty due on the issue or delivery of any shares of Common Stock upon such Conversion;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Conversion Agent to Notify Company of Conversions</w:t>
      </w:r>
      <w:r>
        <w:rPr>
          <w:rFonts w:ascii="Times New Roman;Times;Serif" w:hAnsi="Times New Roman;Times;Serif"/>
          <w:b w:val="false"/>
          <w:i w:val="false"/>
          <w:caps w:val="false"/>
          <w:smallCaps w:val="false"/>
          <w:sz w:val="20"/>
        </w:rPr>
        <w:t>. If any Note is submitted for Conversion to the Conversion Agent or the Conversion Agent receives any notice of Conversion with respect to a Note, then the Conversion Agent will promptly (and, in any event, no later than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the Conversion Agent receives such Note or notice) notify the Company and the Trustee of such occurrence, together with any other information reasonably requested by the Company, and will cooperate with the Company to determine the Conversion Date for such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5.03.   Settlement Upon Conversion.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Settlement Method</w:t>
      </w:r>
      <w:r>
        <w:rPr>
          <w:rFonts w:ascii="Times New Roman;Times;Serif" w:hAnsi="Times New Roman;Times;Serif"/>
          <w:b w:val="false"/>
          <w:i w:val="false"/>
          <w:caps w:val="false"/>
          <w:smallCaps w:val="false"/>
          <w:sz w:val="20"/>
        </w:rPr>
        <w:t>. Upon the Conversion of any Note, the Company will settle such Conversion by paying or delivering, as applicable and as provided in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either (x) solely cash as provided in ‎</w:t>
      </w:r>
      <w:r>
        <w:rPr>
          <w:rFonts w:ascii="Times New Roman;Times;Serif" w:hAnsi="Times New Roman;Times;Serif"/>
          <w:b/>
          <w:i w:val="false"/>
          <w:caps w:val="false"/>
          <w:smallCaps w:val="false"/>
          <w:sz w:val="20"/>
        </w:rPr>
        <w:t>Section 5.03(B)(i)(1</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Cash Settlement</w:t>
      </w:r>
      <w:r>
        <w:rPr>
          <w:rFonts w:ascii="Times New Roman;Times;Serif" w:hAnsi="Times New Roman;Times;Serif"/>
          <w:b w:val="false"/>
          <w:i w:val="false"/>
          <w:caps w:val="false"/>
          <w:smallCaps w:val="false"/>
          <w:sz w:val="20"/>
        </w:rPr>
        <w:t>”); or (y) a combination of cash and shares of Common Stock, together, if applicable, with cash in lieu of fractional shares as provided in ‎</w:t>
      </w:r>
      <w:r>
        <w:rPr>
          <w:rFonts w:ascii="Times New Roman;Times;Serif" w:hAnsi="Times New Roman;Times;Serif"/>
          <w:b/>
          <w:i w:val="false"/>
          <w:caps w:val="false"/>
          <w:smallCaps w:val="false"/>
          <w:sz w:val="20"/>
        </w:rPr>
        <w:t>Section 5.03(B)(i)(2</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Combination Settlement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The Company’s Right to Elect Settlement Method</w:t>
      </w:r>
      <w:r>
        <w:rPr>
          <w:rFonts w:ascii="Times New Roman;Times;Serif" w:hAnsi="Times New Roman;Times;Serif"/>
          <w:b w:val="false"/>
          <w:i w:val="false"/>
          <w:caps w:val="false"/>
          <w:smallCaps w:val="false"/>
          <w:sz w:val="20"/>
        </w:rPr>
        <w:t xml:space="preserve">. The Company will have the right to elect the Settlement Method applicable to any Conversion of a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subject to </w:t>
      </w:r>
      <w:r>
        <w:rPr>
          <w:rFonts w:ascii="Times New Roman;Times;Serif" w:hAnsi="Times New Roman;Times;Serif"/>
          <w:b/>
          <w:i w:val="false"/>
          <w:caps w:val="false"/>
          <w:smallCaps w:val="false"/>
          <w:sz w:val="20"/>
        </w:rPr>
        <w:t>clause ‎(3</w:t>
      </w:r>
      <w:r>
        <w:rPr>
          <w:rFonts w:ascii="Times New Roman;Times;Serif" w:hAnsi="Times New Roman;Times;Serif"/>
          <w:b w:val="false"/>
          <w:i w:val="false"/>
          <w:caps w:val="false"/>
          <w:smallCaps w:val="false"/>
          <w:sz w:val="20"/>
        </w:rPr>
        <w:t>) below, all Conversions of Notes with a Conversion Date that occurs on or after June 1, 2029 will be settled using the same Settlement Method, and the Company will send notice of such Settlement Method to Holders no later than the Open of Business on June 1, 2029;</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subject to </w:t>
      </w:r>
      <w:r>
        <w:rPr>
          <w:rFonts w:ascii="Times New Roman;Times;Serif" w:hAnsi="Times New Roman;Times;Serif"/>
          <w:b/>
          <w:i w:val="false"/>
          <w:caps w:val="false"/>
          <w:smallCaps w:val="false"/>
          <w:sz w:val="20"/>
        </w:rPr>
        <w:t>clause ‎(3</w:t>
      </w:r>
      <w:r>
        <w:rPr>
          <w:rFonts w:ascii="Times New Roman;Times;Serif" w:hAnsi="Times New Roman;Times;Serif"/>
          <w:b w:val="false"/>
          <w:i w:val="false"/>
          <w:caps w:val="false"/>
          <w:smallCaps w:val="false"/>
          <w:sz w:val="20"/>
        </w:rPr>
        <w:t>) below, if the Company elects a Settlement Method with respect to the Conversion of any Note whose Conversion Date occurs before June 1, 2029, then the Company will send notice of such Settlement Method to the Holder of such Note no later than the Close of Business on the Business Day immediately after such Conversion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any Notes are called for Redemption, then (a) the Company will specify, in the related Redemption Notice (and, in the case of a Redemption of less than all outstanding Notes, in a notice simultaneously sent to all Holders of Notes not called for Redemption) sent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the Settlement Method that will apply to all Conversions of Notes with a Conversion Date that occurs on or after the related Redemption Notice Date and on or before the second (2nd) Business Day before the related Redemption Date; and (b) if such Redemption Date occurs on or after June 1, 2029, then such Settlement Method must be the same Settlement Method that, pursuant to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above, applies to all Conversions of Notes with a Conversion Date that occurs on or after June 1, 2029;</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above);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before the time the Company sends any notice referred to in the preceding sentence, the Company will send a copy of such notice to the Trustee and the Conversion Agent, but the failure to timely send such copy will not affect the validity of any Settlement Method election.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The Company’s Right to Irrevocably Fix or Eliminate Settlement Methods</w:t>
      </w:r>
      <w:r>
        <w:rPr>
          <w:rFonts w:ascii="Times New Roman;Times;Serif" w:hAnsi="Times New Roman;Times;Serif"/>
          <w:b w:val="false"/>
          <w:i w:val="false"/>
          <w:caps w:val="false"/>
          <w:smallCaps w:val="false"/>
          <w:sz w:val="20"/>
        </w:rPr>
        <w:t xml:space="preserve">. The Company will have the right, exercisable at its election by sending notice of such exercise to the Holders (with a copy to the Trustee and the Conversion Agent),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that (v) in no event will the Company elect (whether directly or by eliminating all other Settlement Methods) Combination Settlement with a Specified Dollar Amount that is less than $1,000 per $1,000 principal amount of Notes; (w) the Settlement Method so elected pursuant to </w:t>
      </w:r>
      <w:r>
        <w:rPr>
          <w:rFonts w:ascii="Times New Roman;Times;Serif" w:hAnsi="Times New Roman;Times;Serif"/>
          <w:b/>
          <w:i w:val="false"/>
          <w:caps w:val="false"/>
          <w:smallCaps w:val="false"/>
          <w:sz w:val="20"/>
        </w:rPr>
        <w:t xml:space="preserve">clause (1) </w:t>
      </w:r>
      <w:r>
        <w:rPr>
          <w:rFonts w:ascii="Times New Roman;Times;Serif" w:hAnsi="Times New Roman;Times;Serif"/>
          <w:b w:val="false"/>
          <w:i w:val="false"/>
          <w:caps w:val="false"/>
          <w:smallCaps w:val="false"/>
          <w:sz w:val="20"/>
        </w:rPr>
        <w:t xml:space="preserve">above, or the Settlement Method(s) remaining after any elimination pursuant to </w:t>
      </w:r>
      <w:r>
        <w:rPr>
          <w:rFonts w:ascii="Times New Roman;Times;Serif" w:hAnsi="Times New Roman;Times;Serif"/>
          <w:b/>
          <w:i w:val="false"/>
          <w:caps w:val="false"/>
          <w:smallCaps w:val="false"/>
          <w:sz w:val="20"/>
        </w:rPr>
        <w:t>clause (2)</w:t>
      </w:r>
      <w:r>
        <w:rPr>
          <w:rFonts w:ascii="Times New Roman;Times;Serif" w:hAnsi="Times New Roman;Times;Serif"/>
          <w:b w:val="false"/>
          <w:i w:val="false"/>
          <w:caps w:val="false"/>
          <w:smallCaps w:val="false"/>
          <w:sz w:val="20"/>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(x) no such irrevocable election will affect any Settlement Method theretofore elected (or deemed to be elected) with respect to any Note pursuant to this Indenture (including pursuant to ‎</w:t>
      </w:r>
      <w:r>
        <w:rPr>
          <w:rFonts w:ascii="Times New Roman;Times;Serif" w:hAnsi="Times New Roman;Times;Serif"/>
          <w:b/>
          <w:i w:val="false"/>
          <w:caps w:val="false"/>
          <w:smallCaps w:val="false"/>
          <w:sz w:val="20"/>
        </w:rPr>
        <w:t>Section 8.01(G</w:t>
      </w:r>
      <w:r>
        <w:rPr>
          <w:rFonts w:ascii="Times New Roman;Times;Serif" w:hAnsi="Times New Roman;Times;Serif"/>
          <w:b w:val="false"/>
          <w:i w:val="false"/>
          <w:caps w:val="false"/>
          <w:smallCaps w:val="false"/>
          <w:sz w:val="20"/>
        </w:rPr>
        <w:t>) or this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xml:space="preserve">)); (y) upon any such irrevocable election pursuant to </w:t>
      </w:r>
      <w:r>
        <w:rPr>
          <w:rFonts w:ascii="Times New Roman;Times;Serif" w:hAnsi="Times New Roman;Times;Serif"/>
          <w:b/>
          <w:i w:val="false"/>
          <w:caps w:val="false"/>
          <w:smallCaps w:val="false"/>
          <w:sz w:val="20"/>
        </w:rPr>
        <w:t xml:space="preserve">clause (1) </w:t>
      </w:r>
      <w:r>
        <w:rPr>
          <w:rFonts w:ascii="Times New Roman;Times;Serif" w:hAnsi="Times New Roman;Times;Serif"/>
          <w:b w:val="false"/>
          <w:i w:val="false"/>
          <w:caps w:val="false"/>
          <w:smallCaps w:val="false"/>
          <w:sz w:val="20"/>
        </w:rPr>
        <w:t xml:space="preserve">above, the Default Settlement Method will automatically be deemed to be set to the Settlement Method so fixed; and (z) upon any such irrevocable election pursuant to </w:t>
      </w:r>
      <w:r>
        <w:rPr>
          <w:rFonts w:ascii="Times New Roman;Times;Serif" w:hAnsi="Times New Roman;Times;Serif"/>
          <w:b/>
          <w:i w:val="false"/>
          <w:caps w:val="false"/>
          <w:smallCaps w:val="false"/>
          <w:sz w:val="20"/>
        </w:rPr>
        <w:t>clause (2)</w:t>
      </w:r>
      <w:r>
        <w:rPr>
          <w:rFonts w:ascii="Times New Roman;Times;Serif" w:hAnsi="Times New Roman;Times;Serif"/>
          <w:b w:val="false"/>
          <w:i w:val="false"/>
          <w:caps w:val="false"/>
          <w:smallCaps w:val="false"/>
          <w:sz w:val="20"/>
        </w:rPr>
        <w:t xml:space="preserve"> above, the Company will, if needed, simultaneously change the Default Settlement Method to a Settlement Method that is consistent with such irrevocable election. Such notice, if sent, must set forth the applicable Settlement Method(s) so elected or eliminated, as applicable, and the Default Settlement Method applicable immediately after such election,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Times New Roman;Times;Serif" w:hAnsi="Times New Roman;Times;Serif"/>
          <w:b/>
          <w:i w:val="false"/>
          <w:caps w:val="false"/>
          <w:smallCaps w:val="false"/>
          <w:sz w:val="20"/>
        </w:rPr>
        <w:t>Section 8.01(G</w:t>
      </w:r>
      <w:r>
        <w:rPr>
          <w:rFonts w:ascii="Times New Roman;Times;Serif" w:hAnsi="Times New Roman;Times;Serif"/>
          <w:b w:val="false"/>
          <w:i w:val="false"/>
          <w:caps w:val="false"/>
          <w:smallCaps w:val="false"/>
          <w:sz w:val="20"/>
        </w:rPr>
        <w:t>) (it being understood, however, that the Company may nonetheless choose to execute such an amendment at its option).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Requirement to Publicly Disclose the Fixed or Default Settlement Method.</w:t>
      </w:r>
      <w:r>
        <w:rPr>
          <w:rFonts w:ascii="Times New Roman;Times;Serif" w:hAnsi="Times New Roman;Times;Serif"/>
          <w:b w:val="false"/>
          <w:i w:val="false"/>
          <w:caps w:val="false"/>
          <w:smallCaps w:val="false"/>
          <w:sz w:val="20"/>
        </w:rPr>
        <w:t xml:space="preserve"> If the Company changes the Default Settlement Method pursuant to </w:t>
      </w:r>
      <w:r>
        <w:rPr>
          <w:rFonts w:ascii="Times New Roman;Times;Serif" w:hAnsi="Times New Roman;Times;Serif"/>
          <w:b/>
          <w:i w:val="false"/>
          <w:caps w:val="false"/>
          <w:smallCaps w:val="false"/>
          <w:sz w:val="20"/>
        </w:rPr>
        <w:t>clause (x)</w:t>
      </w:r>
      <w:r>
        <w:rPr>
          <w:rFonts w:ascii="Times New Roman;Times;Serif" w:hAnsi="Times New Roman;Times;Serif"/>
          <w:b w:val="false"/>
          <w:i w:val="false"/>
          <w:caps w:val="false"/>
          <w:smallCaps w:val="false"/>
          <w:sz w:val="20"/>
        </w:rPr>
        <w:t xml:space="preserve"> of the proviso to the definition of such term or irrevocably fixes the Settlement Method(s)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w:t>
      </w:r>
      <w:r>
        <w:rPr>
          <w:rFonts w:ascii="Times New Roman;Times;Serif" w:hAnsi="Times New Roman;Times;Serif"/>
          <w:b/>
          <w:i w:val="false"/>
          <w:caps w:val="false"/>
          <w:smallCaps w:val="false"/>
          <w:sz w:val="20"/>
        </w:rPr>
        <w:t>Section 5.03(A)(ii</w:t>
      </w:r>
      <w:r>
        <w:rPr>
          <w:rFonts w:ascii="Times New Roman;Times;Serif" w:hAnsi="Times New Roman;Times;Serif"/>
          <w:b w:val="false"/>
          <w:i w:val="false"/>
          <w:caps w:val="false"/>
          <w:smallCaps w:val="false"/>
          <w:sz w:val="20"/>
        </w:rPr>
        <w:t>), then the Company will, substantially concurrently therewith, either post the Default Settlement Method or fixed Settlement Method(s), as applicable, on its website or disclose the same in a Current Report on Form 8-K (or any successor form) that is filed with, or furnished to, the SEC.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Conversion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5.03(B)(ii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5.03(B)(iii</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5.09(A</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the type and amount of consideration (the “</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due in respect of each $1,000 principal amount of a Note to be Converted will be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Cash Settlement applies to such Conversion, cash in an amount equal to the sum of the Daily Conversion Values for each VWAP Trading Day in the Observation Period for such Conversion;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Cash in Lieu of Fractional Shares</w:t>
      </w:r>
      <w:r>
        <w:rPr>
          <w:rFonts w:ascii="Times New Roman;Times;Serif" w:hAnsi="Times New Roman;Times;Serif"/>
          <w:b w:val="false"/>
          <w:i w:val="false"/>
          <w:caps w:val="false"/>
          <w:smallCaps w:val="false"/>
          <w:sz w:val="20"/>
        </w:rPr>
        <w:t>. If Combination Settlement applies to the Conversion of any Note and the number of shares of Common Stock deliverable pursuant to ‎</w:t>
      </w:r>
      <w:r>
        <w:rPr>
          <w:rFonts w:ascii="Times New Roman;Times;Serif" w:hAnsi="Times New Roman;Times;Serif"/>
          <w:b/>
          <w:i w:val="false"/>
          <w:caps w:val="false"/>
          <w:smallCaps w:val="false"/>
          <w:sz w:val="20"/>
        </w:rPr>
        <w:t>Section 5.03(B)(i</w:t>
      </w:r>
      <w:r>
        <w:rPr>
          <w:rFonts w:ascii="Times New Roman;Times;Serif" w:hAnsi="Times New Roman;Times;Serif"/>
          <w:b w:val="false"/>
          <w:i w:val="false"/>
          <w:caps w:val="false"/>
          <w:smallCaps w:val="false"/>
          <w:sz w:val="20"/>
        </w:rPr>
        <w:t>)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the Daily VWAP on the last VWAP Trading Day of the Observation Period for such Conversion.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Conversion of Multiple Notes by a Single Holder</w:t>
      </w:r>
      <w:r>
        <w:rPr>
          <w:rFonts w:ascii="Times New Roman;Times;Serif" w:hAnsi="Times New Roman;Times;Serif"/>
          <w:b w:val="false"/>
          <w:i w:val="false"/>
          <w:caps w:val="false"/>
          <w:smallCaps w:val="false"/>
          <w:sz w:val="20"/>
        </w:rPr>
        <w:t>. If a Holder Converts more than one (1) Note on a single 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Notice of Calculation of Conversion Consideration</w:t>
      </w:r>
      <w:r>
        <w:rPr>
          <w:rFonts w:ascii="Times New Roman;Times;Serif" w:hAnsi="Times New Roman;Times;Serif"/>
          <w:b w:val="false"/>
          <w:i w:val="false"/>
          <w:caps w:val="false"/>
          <w:smallCaps w:val="false"/>
          <w:sz w:val="20"/>
        </w:rPr>
        <w:t>. If any Note is to be Converted,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Delivery of the Conversion Consideration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i w:val="false"/>
          <w:caps w:val="false"/>
          <w:smallCaps w:val="false"/>
          <w:sz w:val="20"/>
        </w:rPr>
        <w:t>Sections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5.05(D</w:t>
      </w:r>
      <w:r>
        <w:rPr>
          <w:rFonts w:ascii="Times New Roman;Times;Serif" w:hAnsi="Times New Roman;Times;Serif"/>
          <w:b w:val="false"/>
          <w:i w:val="false"/>
          <w:caps w:val="false"/>
          <w:smallCaps w:val="false"/>
          <w:sz w:val="20"/>
        </w:rPr>
        <w:t>) and ‎5.09, the Company will pay or deliver, as applicable, the Conversion Consideration due upon the Conversion of any Note to the Holder on the second (2nd) Business Day immediately after the last VWAP Trading Day of the Observation Period for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 xml:space="preserve">Deemed Payment of Principal and Interest; Settlement of Accrued Interest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Notwithstanding Conversion</w:t>
      </w:r>
      <w:r>
        <w:rPr>
          <w:rFonts w:ascii="Times New Roman;Times;Serif" w:hAnsi="Times New Roman;Times;Serif"/>
          <w:b w:val="false"/>
          <w:i w:val="false"/>
          <w:caps w:val="false"/>
          <w:smallCaps w:val="false"/>
          <w:sz w:val="20"/>
        </w:rPr>
        <w:t>. If a Holder Converts a Note, then the Company will not adjust the Conversion Rate to account for any accrued and unpaid interest on such Note, and, except as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the Company’s delivery of the Conversion Consideration due in respect of such Conversion will be deemed to fully satisfy and discharge the Company’s obligation to pay the principal of, and accrued and unpaid interest, if any, on, such Note to, but excluding the Conversion Date. As a result, except as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any accrued and unpaid interest on a Converted Note will be deemed to be paid in full rather than cancelled, extinguished or forfeited. In addition, subject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if the Conversion Consideration for a Note consists of both cash and shares of Common Stock, then accrued and unpaid interest that is deemed to be paid therewith will be deemed to be paid first out of such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5.04.   Reserve and Status of Common Stock Issued Upon Conversion.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Stock Reserve</w:t>
      </w:r>
      <w:r>
        <w:rPr>
          <w:rFonts w:ascii="Times New Roman;Times;Serif" w:hAnsi="Times New Roman;Times;Serif"/>
          <w:b w:val="false"/>
          <w:i w:val="false"/>
          <w:caps w:val="false"/>
          <w:smallCaps w:val="false"/>
          <w:sz w:val="20"/>
        </w:rPr>
        <w:t>. At all times when any Notes are outstanding, the Company will reserve (out of its authorized and not outstanding shares of Common Stock that are not reserved for other purposes) a number of shares of Common Stock equal to the product of (i) the aggregate principal amount (expressed in thousands) of all then-outstanding Notes; and (ii) the Conversion Rate then in effect (assuming, for these purposes, that the Conversion Rate is increased by the maximum amount pursuant to which the Conversion Rate may be increased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 xml:space="preserve">5.07). To the extent the Company delivers shares of Common Stock held in its treasury in settlement of the Conversion of any Notes, each reference in this Indenture or the Notes to the issuance of shares of Common Stock in connection therewith will be deemed to include such delivery,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Status of Conversion Shares; Listing</w:t>
      </w:r>
      <w:r>
        <w:rPr>
          <w:rFonts w:ascii="Times New Roman;Times;Serif" w:hAnsi="Times New Roman;Times;Serif"/>
          <w:b w:val="false"/>
          <w:i w:val="false"/>
          <w:caps w:val="false"/>
          <w:smallCaps w:val="false"/>
          <w:sz w:val="20"/>
        </w:rPr>
        <w:t>. Each Conversion Share, if any, delivered upon Conversion of any Note will be a newly issued or treasury share (except that any Conversion Share delivered by a designated financial institution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5.08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5.05.   Adjustments to the Conversion Rate.</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Events Requiring an Adjustment to the Conversion Rate</w:t>
      </w:r>
      <w:r>
        <w:rPr>
          <w:rFonts w:ascii="Times New Roman;Times;Serif" w:hAnsi="Times New Roman;Times;Serif"/>
          <w:b w:val="false"/>
          <w:i w:val="false"/>
          <w:caps w:val="false"/>
          <w:smallCaps w:val="false"/>
          <w:sz w:val="20"/>
        </w:rPr>
        <w:t>. The Conversion Rate will be adjusted from time to time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Stock Dividends, Splits and Combinations</w:t>
      </w:r>
      <w:r>
        <w:rPr>
          <w:rFonts w:ascii="Times New Roman;Times;Serif" w:hAnsi="Times New Roman;Times;Serif"/>
          <w:b w:val="false"/>
          <w:i w:val="false"/>
          <w:caps w:val="false"/>
          <w:smallCaps w:val="false"/>
          <w:sz w:val="20"/>
        </w:rPr>
        <w:t>. If the Company issues solely shares of Common Stock as a dividend or distribution on all or substantially all shares of the Common Stock, or if the Company effects a stock split or a stock combination of the Common Stock, then the Conversion Rate will be adjusted based on the following formula: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center"/>
        <w:rPr>
          <w:caps w:val="false"/>
          <w:smallCaps w:val="false"/>
        </w:rPr>
      </w:pPr>
      <w:r>
        <w:rPr>
          <w:caps w:val="false"/>
          <w:smallCaps w:val="false"/>
        </w:rPr>
        <w:drawing>
          <wp:inline distT="0" distB="0" distL="0" distR="0">
            <wp:extent cx="14097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466725"/>
                    </a:xfrm>
                    <a:prstGeom prst="rect">
                      <a:avLst/>
                    </a:prstGeom>
                  </pic:spPr>
                </pic:pic>
              </a:graphicData>
            </a:graphic>
          </wp:inline>
        </w:drawing>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both"/>
              <w:rPr>
                <w:i/>
              </w:rPr>
            </w:pPr>
            <w:r>
              <w:rPr>
                <w:i/>
              </w:rPr>
              <w:t>CR</w:t>
            </w:r>
            <w:r>
              <w:rPr>
                <w:i/>
                <w:position w:val="-2"/>
                <w:sz w:val="19"/>
              </w:rPr>
              <w:t>0</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Conversion Rate in effect immediately before the Open of Business on the Ex-Dividend Date for such dividend or distribution, or immediately before the Open of Business on the Effective Date of such stock split or stock combination, as applicable;</w:t>
            </w:r>
          </w:p>
        </w:tc>
      </w:tr>
      <w:tr>
        <w:trPr/>
        <w:tc>
          <w:tcPr>
            <w:tcW w:w="45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both"/>
              <w:rPr>
                <w:i/>
              </w:rPr>
            </w:pPr>
            <w:r>
              <w:rPr>
                <w:i/>
              </w:rPr>
              <w:t>CR</w:t>
            </w:r>
            <w:r>
              <w:rPr>
                <w:i/>
                <w:position w:val="-2"/>
                <w:sz w:val="19"/>
              </w:rPr>
              <w:t>1</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Conversion Rate in effect immediately after the Open of Business on such Ex-Dividend Date or Effective Date, as applicable;</w:t>
            </w:r>
          </w:p>
        </w:tc>
      </w:tr>
      <w:tr>
        <w:trPr/>
        <w:tc>
          <w:tcPr>
            <w:tcW w:w="45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both"/>
              <w:rPr>
                <w:i/>
              </w:rPr>
            </w:pPr>
            <w:r>
              <w:rPr>
                <w:i/>
              </w:rPr>
              <w:t>OS</w:t>
            </w:r>
            <w:r>
              <w:rPr>
                <w:i/>
                <w:position w:val="-2"/>
                <w:sz w:val="19"/>
              </w:rPr>
              <w:t>0</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number of shares of Common Stock outstanding immediately before the Open of Business on such Ex-Dividend Date or Effective Date, as applicable, without giving effect to such dividend, distribution, stock split or stock combination; and</w:t>
            </w:r>
          </w:p>
        </w:tc>
      </w:tr>
      <w:tr>
        <w:trPr/>
        <w:tc>
          <w:tcPr>
            <w:tcW w:w="45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both"/>
              <w:rPr>
                <w:i/>
              </w:rPr>
            </w:pPr>
            <w:r>
              <w:rPr>
                <w:i/>
              </w:rPr>
              <w:t>OS</w:t>
            </w:r>
            <w:r>
              <w:rPr>
                <w:i/>
                <w:position w:val="-2"/>
                <w:sz w:val="19"/>
              </w:rPr>
              <w:t>1</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number of shares of Common Stock outstanding immediately after giving effect to such dividend, distribution, stock split or stock combination.</w:t>
            </w:r>
          </w:p>
        </w:tc>
      </w:tr>
    </w:tbl>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dividend, distribution, stock split or stock combination of the type described in this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Rights, Options and Warrants</w:t>
      </w:r>
      <w:r>
        <w:rPr>
          <w:rFonts w:ascii="Times New Roman;Times;Serif" w:hAnsi="Times New Roman;Times;Serif"/>
          <w:b w:val="false"/>
          <w:i w:val="false"/>
          <w:caps w:val="false"/>
          <w:smallCaps w:val="false"/>
          <w:sz w:val="20"/>
        </w:rPr>
        <w:t xml:space="preserve">. If the Company distributes, to all or substantially all holders of Common Stock, rights, options or warrants (other than rights issued or otherwise distributed pursuant to a stockholder rights plan, as to which </w:t>
      </w:r>
      <w:r>
        <w:rPr>
          <w:rFonts w:ascii="Times New Roman;Times;Serif" w:hAnsi="Times New Roman;Times;Serif"/>
          <w:b/>
          <w:i w:val="false"/>
          <w:caps w:val="false"/>
          <w:smallCaps w:val="false"/>
          <w:sz w:val="20"/>
        </w:rPr>
        <w:t xml:space="preserve">Sections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5.05(A)(iii)(1</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5.05(F</w:t>
      </w:r>
      <w:r>
        <w:rPr>
          <w:rFonts w:ascii="Times New Roman;Times;Serif" w:hAnsi="Times New Roman;Times;Serif"/>
          <w:b w:val="false"/>
          <w:i w:val="false"/>
          <w:caps w:val="false"/>
          <w:smallCaps w:val="false"/>
          <w:sz w:val="20"/>
        </w:rPr>
        <w:t>) will apply) entitling such holders, for a period of not more than sixty (60) calendar days after the date such distribution is first publicly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first publicly announced, then the Conversion Rate will be increased based on the following formula: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center"/>
        <w:rPr>
          <w:caps w:val="false"/>
          <w:smallCaps w:val="false"/>
        </w:rPr>
      </w:pPr>
      <w:r>
        <w:rPr>
          <w:caps w:val="false"/>
          <w:smallCaps w:val="false"/>
        </w:rPr>
        <w:drawing>
          <wp:inline distT="0" distB="0" distL="0" distR="0">
            <wp:extent cx="1524000"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466725"/>
                    </a:xfrm>
                    <a:prstGeom prst="rect">
                      <a:avLst/>
                    </a:prstGeom>
                  </pic:spPr>
                </pic:pic>
              </a:graphicData>
            </a:graphic>
          </wp:inline>
        </w:drawing>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both"/>
              <w:rPr>
                <w:i/>
              </w:rPr>
            </w:pPr>
            <w:r>
              <w:rPr>
                <w:i/>
              </w:rPr>
              <w:t>CR</w:t>
            </w:r>
            <w:r>
              <w:rPr>
                <w:i/>
                <w:position w:val="-2"/>
                <w:sz w:val="19"/>
              </w:rPr>
              <w:t>0</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Conversion Rate in effect immediately before the Open of Business on the Ex-Dividend Date for such distribution;</w:t>
            </w:r>
          </w:p>
        </w:tc>
      </w:tr>
      <w:tr>
        <w:trPr/>
        <w:tc>
          <w:tcPr>
            <w:tcW w:w="45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both"/>
              <w:rPr>
                <w:i/>
              </w:rPr>
            </w:pPr>
            <w:r>
              <w:rPr>
                <w:i/>
              </w:rPr>
              <w:t>CR</w:t>
            </w:r>
            <w:r>
              <w:rPr>
                <w:i/>
                <w:position w:val="-2"/>
                <w:sz w:val="19"/>
              </w:rPr>
              <w:t>1</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Conversion Rate in effect immediately after the Open of Business on such Ex-Dividend Date;</w:t>
            </w:r>
          </w:p>
        </w:tc>
      </w:tr>
    </w:tbl>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- 50 -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155"/>
        <w:gridCol w:w="9715"/>
      </w:tblGrid>
      <w:tr>
        <w:trPr/>
        <w:tc>
          <w:tcPr>
            <w:tcW w:w="335" w:type="dxa"/>
            <w:tcBorders/>
            <w:vAlign w:val="center"/>
          </w:tcPr>
          <w:p>
            <w:pPr>
              <w:pStyle w:val="TableContents"/>
              <w:bidi w:val="0"/>
              <w:spacing w:before="0" w:after="283"/>
              <w:jc w:val="both"/>
              <w:rPr>
                <w:i/>
              </w:rPr>
            </w:pPr>
            <w:r>
              <w:rPr>
                <w:i/>
              </w:rPr>
              <w:t>OS</w:t>
            </w:r>
          </w:p>
        </w:tc>
        <w:tc>
          <w:tcPr>
            <w:tcW w:w="155" w:type="dxa"/>
            <w:tcBorders/>
            <w:vAlign w:val="center"/>
          </w:tcPr>
          <w:p>
            <w:pPr>
              <w:pStyle w:val="TableContents"/>
              <w:bidi w:val="0"/>
              <w:spacing w:before="0" w:after="283"/>
              <w:jc w:val="center"/>
              <w:rPr/>
            </w:pPr>
            <w:r>
              <w:rPr/>
              <w:t>=</w:t>
            </w:r>
          </w:p>
        </w:tc>
        <w:tc>
          <w:tcPr>
            <w:tcW w:w="9715" w:type="dxa"/>
            <w:tcBorders/>
            <w:vAlign w:val="center"/>
          </w:tcPr>
          <w:p>
            <w:pPr>
              <w:pStyle w:val="TableContents"/>
              <w:bidi w:val="0"/>
              <w:spacing w:before="0" w:after="283"/>
              <w:jc w:val="both"/>
              <w:rPr/>
            </w:pPr>
            <w:r>
              <w:rPr/>
              <w:t>the number of shares of Common Stock outstanding immediately before the Open of Business on such Ex-Dividend Date;</w:t>
            </w:r>
          </w:p>
        </w:tc>
      </w:tr>
      <w:tr>
        <w:trPr/>
        <w:tc>
          <w:tcPr>
            <w:tcW w:w="33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71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i/>
              </w:rPr>
            </w:pPr>
            <w:r>
              <w:rPr>
                <w:i/>
              </w:rPr>
              <w:t>X</w:t>
            </w:r>
          </w:p>
        </w:tc>
        <w:tc>
          <w:tcPr>
            <w:tcW w:w="155" w:type="dxa"/>
            <w:tcBorders/>
            <w:vAlign w:val="center"/>
          </w:tcPr>
          <w:p>
            <w:pPr>
              <w:pStyle w:val="TableContents"/>
              <w:bidi w:val="0"/>
              <w:spacing w:before="0" w:after="283"/>
              <w:jc w:val="center"/>
              <w:rPr/>
            </w:pPr>
            <w:r>
              <w:rPr/>
              <w:t>=</w:t>
            </w:r>
          </w:p>
        </w:tc>
        <w:tc>
          <w:tcPr>
            <w:tcW w:w="9715" w:type="dxa"/>
            <w:tcBorders/>
            <w:vAlign w:val="center"/>
          </w:tcPr>
          <w:p>
            <w:pPr>
              <w:pStyle w:val="TableContents"/>
              <w:bidi w:val="0"/>
              <w:spacing w:before="0" w:after="283"/>
              <w:jc w:val="both"/>
              <w:rPr/>
            </w:pPr>
            <w:r>
              <w:rPr/>
              <w:t>the total number of shares of Common Stock issuable pursuant to such rights, options or warrants; and</w:t>
            </w:r>
          </w:p>
        </w:tc>
      </w:tr>
      <w:tr>
        <w:trPr/>
        <w:tc>
          <w:tcPr>
            <w:tcW w:w="33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71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i/>
              </w:rPr>
            </w:pPr>
            <w:r>
              <w:rPr>
                <w:i/>
              </w:rPr>
              <w:t>Y</w:t>
            </w:r>
          </w:p>
        </w:tc>
        <w:tc>
          <w:tcPr>
            <w:tcW w:w="155" w:type="dxa"/>
            <w:tcBorders/>
            <w:vAlign w:val="center"/>
          </w:tcPr>
          <w:p>
            <w:pPr>
              <w:pStyle w:val="TableContents"/>
              <w:bidi w:val="0"/>
              <w:spacing w:before="0" w:after="283"/>
              <w:jc w:val="center"/>
              <w:rPr/>
            </w:pPr>
            <w:r>
              <w:rPr/>
              <w:t>=</w:t>
            </w:r>
          </w:p>
        </w:tc>
        <w:tc>
          <w:tcPr>
            <w:tcW w:w="9715" w:type="dxa"/>
            <w:tcBorders/>
            <w:vAlign w:val="center"/>
          </w:tcPr>
          <w:p>
            <w:pPr>
              <w:pStyle w:val="TableContents"/>
              <w:bidi w:val="0"/>
              <w:spacing w:before="0" w:after="283"/>
              <w:jc w:val="both"/>
              <w:rPr/>
            </w:pPr>
            <w:r>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options or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w:t>
      </w:r>
      <w:r>
        <w:rPr>
          <w:rFonts w:ascii="Times New Roman;Times;Serif" w:hAnsi="Times New Roman;Times;Serif"/>
          <w:b/>
          <w:i w:val="false"/>
          <w:caps w:val="false"/>
          <w:smallCaps w:val="false"/>
          <w:sz w:val="20"/>
        </w:rPr>
        <w:t>Section 5.05(A)(ii</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5.01‎</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first publicly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Spin-Offs and Other Distributed Property</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Distributions Other than Spin-Offs</w:t>
      </w:r>
      <w:r>
        <w:rPr>
          <w:rFonts w:ascii="Times New Roman;Times;Serif" w:hAnsi="Times New Roman;Times;Serif"/>
          <w:b w:val="false"/>
          <w:i w:val="false"/>
          <w:caps w:val="false"/>
          <w:smallCaps w:val="false"/>
          <w:sz w:val="20"/>
        </w:rPr>
        <w:t>. If the Company distributes shares of its Capital Stock, evidences of its indebtedness or other assets or property of the Company, or rights, options or warrants to acquire Capital Stock of the Company or other securities, to all or substantially all holders of the Common Stock, excluding: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dividends, distributions, rights, options or warrants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5.05(A)(i</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5.05(A)(ii</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dividends or distributions paid exclusively in cash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pursuant to ‎</w:t>
      </w:r>
      <w:r>
        <w:rPr>
          <w:rFonts w:ascii="Times New Roman;Times;Serif" w:hAnsi="Times New Roman;Times;Serif"/>
          <w:b/>
          <w:i w:val="false"/>
          <w:caps w:val="false"/>
          <w:smallCaps w:val="false"/>
          <w:sz w:val="20"/>
        </w:rPr>
        <w:t>Section 5.05(A)(iv</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rights issued or otherwise distributed pursuant to a stockholder rights plan, except to the extent provided in ‎</w:t>
      </w:r>
      <w:r>
        <w:rPr>
          <w:rFonts w:ascii="Times New Roman;Times;Serif" w:hAnsi="Times New Roman;Times;Serif"/>
          <w:b/>
          <w:i w:val="false"/>
          <w:caps w:val="false"/>
          <w:smallCaps w:val="false"/>
          <w:sz w:val="20"/>
        </w:rPr>
        <w:t>Section 5.05(F</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Spin-Offs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pursuant to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 distribution solely pursuant to a tender offer or exchange offer for shares of Common Stock, as to which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will apply;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a distribution solely pursuant to a Common Stock Change Event, as to which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5.09 will apply,</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Conversion Rate will be increased based on the following formula: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caps w:val="false"/>
          <w:smallCaps w:val="false"/>
        </w:rPr>
      </w:pPr>
      <w:r>
        <w:rPr>
          <w:caps w:val="false"/>
          <w:smallCaps w:val="false"/>
        </w:rPr>
        <w:drawing>
          <wp:inline distT="0" distB="0" distL="0" distR="0">
            <wp:extent cx="175260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52600" cy="466725"/>
                    </a:xfrm>
                    <a:prstGeom prst="rect">
                      <a:avLst/>
                    </a:prstGeom>
                  </pic:spPr>
                </pic:pic>
              </a:graphicData>
            </a:graphic>
          </wp:inline>
        </w:drawing>
      </w:r>
    </w:p>
    <w:p>
      <w:pPr>
        <w:pStyle w:val="TextBody"/>
        <w:bidi w:val="0"/>
        <w:spacing w:before="0" w:after="0"/>
        <w:ind w:left="1440" w:right="0" w:hanging="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0"/>
        <w:gridCol w:w="155"/>
        <w:gridCol w:w="9520"/>
      </w:tblGrid>
      <w:tr>
        <w:trPr/>
        <w:tc>
          <w:tcPr>
            <w:tcW w:w="530" w:type="dxa"/>
            <w:tcBorders/>
            <w:vAlign w:val="center"/>
          </w:tcPr>
          <w:p>
            <w:pPr>
              <w:pStyle w:val="TableContents"/>
              <w:bidi w:val="0"/>
              <w:spacing w:before="0" w:after="283"/>
              <w:jc w:val="both"/>
              <w:rPr>
                <w:i/>
              </w:rPr>
            </w:pPr>
            <w:r>
              <w:rPr>
                <w:i/>
              </w:rPr>
              <w:t>CR</w:t>
            </w:r>
            <w:r>
              <w:rPr>
                <w:i/>
                <w:position w:val="-2"/>
                <w:sz w:val="19"/>
              </w:rPr>
              <w:t>0</w:t>
            </w:r>
          </w:p>
        </w:tc>
        <w:tc>
          <w:tcPr>
            <w:tcW w:w="155" w:type="dxa"/>
            <w:tcBorders/>
            <w:vAlign w:val="center"/>
          </w:tcPr>
          <w:p>
            <w:pPr>
              <w:pStyle w:val="TableContents"/>
              <w:bidi w:val="0"/>
              <w:spacing w:before="0" w:after="283"/>
              <w:jc w:val="center"/>
              <w:rPr/>
            </w:pPr>
            <w:r>
              <w:rPr/>
              <w:t>=</w:t>
            </w:r>
          </w:p>
        </w:tc>
        <w:tc>
          <w:tcPr>
            <w:tcW w:w="9520" w:type="dxa"/>
            <w:tcBorders/>
            <w:vAlign w:val="center"/>
          </w:tcPr>
          <w:p>
            <w:pPr>
              <w:pStyle w:val="TableContents"/>
              <w:bidi w:val="0"/>
              <w:spacing w:before="0" w:after="283"/>
              <w:jc w:val="both"/>
              <w:rPr/>
            </w:pPr>
            <w:r>
              <w:rPr/>
              <w:t>the Conversion Rate in effect immediately before the Open of Business on the Ex-Dividend Date for such distribution;</w:t>
            </w:r>
          </w:p>
        </w:tc>
      </w:tr>
      <w:tr>
        <w:trPr/>
        <w:tc>
          <w:tcPr>
            <w:tcW w:w="53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20" w:type="dxa"/>
            <w:tcBorders/>
            <w:vAlign w:val="center"/>
          </w:tcPr>
          <w:p>
            <w:pPr>
              <w:pStyle w:val="TableContents"/>
              <w:bidi w:val="0"/>
              <w:spacing w:before="0" w:after="283"/>
              <w:jc w:val="both"/>
              <w:rPr/>
            </w:pPr>
            <w:r>
              <w:rPr/>
              <w:t> </w:t>
            </w:r>
          </w:p>
        </w:tc>
      </w:tr>
      <w:tr>
        <w:trPr/>
        <w:tc>
          <w:tcPr>
            <w:tcW w:w="530" w:type="dxa"/>
            <w:tcBorders/>
            <w:vAlign w:val="center"/>
          </w:tcPr>
          <w:p>
            <w:pPr>
              <w:pStyle w:val="TableContents"/>
              <w:bidi w:val="0"/>
              <w:spacing w:before="0" w:after="283"/>
              <w:jc w:val="both"/>
              <w:rPr>
                <w:i/>
              </w:rPr>
            </w:pPr>
            <w:r>
              <w:rPr>
                <w:i/>
              </w:rPr>
              <w:t>CR</w:t>
            </w:r>
            <w:r>
              <w:rPr>
                <w:i/>
                <w:position w:val="-2"/>
                <w:sz w:val="19"/>
              </w:rPr>
              <w:t>1</w:t>
            </w:r>
          </w:p>
        </w:tc>
        <w:tc>
          <w:tcPr>
            <w:tcW w:w="155" w:type="dxa"/>
            <w:tcBorders/>
            <w:vAlign w:val="center"/>
          </w:tcPr>
          <w:p>
            <w:pPr>
              <w:pStyle w:val="TableContents"/>
              <w:bidi w:val="0"/>
              <w:spacing w:before="0" w:after="283"/>
              <w:jc w:val="center"/>
              <w:rPr/>
            </w:pPr>
            <w:r>
              <w:rPr/>
              <w:t>=</w:t>
            </w:r>
          </w:p>
        </w:tc>
        <w:tc>
          <w:tcPr>
            <w:tcW w:w="9520" w:type="dxa"/>
            <w:tcBorders/>
            <w:vAlign w:val="center"/>
          </w:tcPr>
          <w:p>
            <w:pPr>
              <w:pStyle w:val="TableContents"/>
              <w:bidi w:val="0"/>
              <w:spacing w:before="0" w:after="283"/>
              <w:jc w:val="both"/>
              <w:rPr/>
            </w:pPr>
            <w:r>
              <w:rPr/>
              <w:t>the Conversion Rate in effect immediately after the Open of Business on such Ex-Dividend Date;</w:t>
            </w:r>
          </w:p>
        </w:tc>
      </w:tr>
      <w:tr>
        <w:trPr/>
        <w:tc>
          <w:tcPr>
            <w:tcW w:w="53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20" w:type="dxa"/>
            <w:tcBorders/>
            <w:vAlign w:val="center"/>
          </w:tcPr>
          <w:p>
            <w:pPr>
              <w:pStyle w:val="TableContents"/>
              <w:bidi w:val="0"/>
              <w:spacing w:before="0" w:after="283"/>
              <w:jc w:val="both"/>
              <w:rPr/>
            </w:pPr>
            <w:r>
              <w:rPr/>
              <w:t> </w:t>
            </w:r>
          </w:p>
        </w:tc>
      </w:tr>
      <w:tr>
        <w:trPr/>
        <w:tc>
          <w:tcPr>
            <w:tcW w:w="530" w:type="dxa"/>
            <w:tcBorders/>
            <w:vAlign w:val="center"/>
          </w:tcPr>
          <w:p>
            <w:pPr>
              <w:pStyle w:val="TableContents"/>
              <w:bidi w:val="0"/>
              <w:spacing w:before="0" w:after="283"/>
              <w:jc w:val="both"/>
              <w:rPr>
                <w:i/>
              </w:rPr>
            </w:pPr>
            <w:r>
              <w:rPr>
                <w:i/>
              </w:rPr>
              <w:t>SP</w:t>
            </w:r>
          </w:p>
        </w:tc>
        <w:tc>
          <w:tcPr>
            <w:tcW w:w="155" w:type="dxa"/>
            <w:tcBorders/>
            <w:vAlign w:val="center"/>
          </w:tcPr>
          <w:p>
            <w:pPr>
              <w:pStyle w:val="TableContents"/>
              <w:bidi w:val="0"/>
              <w:spacing w:before="0" w:after="283"/>
              <w:jc w:val="center"/>
              <w:rPr/>
            </w:pPr>
            <w:r>
              <w:rPr/>
              <w:t>=</w:t>
            </w:r>
          </w:p>
        </w:tc>
        <w:tc>
          <w:tcPr>
            <w:tcW w:w="9520" w:type="dxa"/>
            <w:tcBorders/>
            <w:vAlign w:val="center"/>
          </w:tcPr>
          <w:p>
            <w:pPr>
              <w:pStyle w:val="TableContents"/>
              <w:bidi w:val="0"/>
              <w:spacing w:before="0" w:after="283"/>
              <w:jc w:val="both"/>
              <w:rPr/>
            </w:pPr>
            <w:r>
              <w:rPr/>
              <w:t>the average of the Last Reported Sale Prices per share of Common Stock for the ten (10) consecutive Trading Days ending on, and including, the Trading Day immediately before such Ex-Dividend Date; and</w:t>
            </w:r>
          </w:p>
        </w:tc>
      </w:tr>
      <w:tr>
        <w:trPr/>
        <w:tc>
          <w:tcPr>
            <w:tcW w:w="53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20" w:type="dxa"/>
            <w:tcBorders/>
            <w:vAlign w:val="center"/>
          </w:tcPr>
          <w:p>
            <w:pPr>
              <w:pStyle w:val="TableContents"/>
              <w:bidi w:val="0"/>
              <w:spacing w:before="0" w:after="283"/>
              <w:jc w:val="both"/>
              <w:rPr/>
            </w:pPr>
            <w:r>
              <w:rPr/>
              <w:t> </w:t>
            </w:r>
          </w:p>
        </w:tc>
      </w:tr>
      <w:tr>
        <w:trPr/>
        <w:tc>
          <w:tcPr>
            <w:tcW w:w="530" w:type="dxa"/>
            <w:tcBorders/>
            <w:vAlign w:val="center"/>
          </w:tcPr>
          <w:p>
            <w:pPr>
              <w:pStyle w:val="TableContents"/>
              <w:bidi w:val="0"/>
              <w:spacing w:before="0" w:after="283"/>
              <w:jc w:val="both"/>
              <w:rPr>
                <w:i/>
              </w:rPr>
            </w:pPr>
            <w:r>
              <w:rPr>
                <w:i/>
              </w:rPr>
              <w:t>FMV</w:t>
            </w:r>
          </w:p>
        </w:tc>
        <w:tc>
          <w:tcPr>
            <w:tcW w:w="155" w:type="dxa"/>
            <w:tcBorders/>
            <w:vAlign w:val="center"/>
          </w:tcPr>
          <w:p>
            <w:pPr>
              <w:pStyle w:val="TableContents"/>
              <w:bidi w:val="0"/>
              <w:spacing w:before="0" w:after="283"/>
              <w:jc w:val="center"/>
              <w:rPr/>
            </w:pPr>
            <w:r>
              <w:rPr/>
              <w:t>=</w:t>
            </w:r>
          </w:p>
        </w:tc>
        <w:tc>
          <w:tcPr>
            <w:tcW w:w="9520" w:type="dxa"/>
            <w:tcBorders/>
            <w:vAlign w:val="center"/>
          </w:tcPr>
          <w:p>
            <w:pPr>
              <w:pStyle w:val="TableContents"/>
              <w:bidi w:val="0"/>
              <w:spacing w:before="0" w:after="283"/>
              <w:jc w:val="both"/>
              <w:rPr/>
            </w:pPr>
            <w:r>
              <w:rPr/>
              <w:t>the fair market value (as determined by the Company in good faith), as of such Ex-Dividend Date, of the shares of Capital Stock, evidences of indebtedness, assets, property, rights, options or warrants distributed per share of Common Stock pursuant to such distribution;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w:t>
      </w:r>
      <w:r>
        <w:rPr>
          <w:rFonts w:ascii="Times New Roman;Times;Serif" w:hAnsi="Times New Roman;Times;Serif"/>
          <w:b w:val="false"/>
          <w:i/>
          <w:caps w:val="false"/>
          <w:smallCaps w:val="false"/>
          <w:sz w:val="20"/>
        </w:rPr>
        <w:t>FMV</w:t>
      </w:r>
      <w:r>
        <w:rPr>
          <w:rFonts w:ascii="Times New Roman;Times;Serif" w:hAnsi="Times New Roman;Times;Serif"/>
          <w:b w:val="false"/>
          <w:i w:val="false"/>
          <w:caps w:val="false"/>
          <w:smallCaps w:val="false"/>
          <w:sz w:val="20"/>
        </w:rPr>
        <w:t xml:space="preserve"> 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sz w:val="20"/>
        </w:rPr>
        <w:t>, then, in lieu of the foregoing adjustment to the Conversion Rate, each Holder will receive, for each $1,000 principal amount of Notes held by such Holder on the record date for such</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at the same time and on the same terms as holders of Common Stock, and without having to Convert its Notes, the amount and kind of shares of Capital Stock, evidences of indebtedness, assets, property, rights, options or warrants that such Holder would have received in such distribution if such Holder had owned, on such record date, a number of shares of Common Stock equal to the Conversion Rate in effect on such record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distribution is not so paid or made, the Conversion Rate will be readjusted to the Conversion Rate that would then be in effect had the adjustment been made on the basis of only the distribution, if any, actually made or paid.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Spin-Offs</w:t>
      </w:r>
      <w:r>
        <w:rPr>
          <w:rFonts w:ascii="Times New Roman;Times;Serif" w:hAnsi="Times New Roman;Times;Serif"/>
          <w:b w:val="false"/>
          <w:i w:val="false"/>
          <w:caps w:val="false"/>
          <w:smallCaps w:val="false"/>
          <w:sz w:val="20"/>
        </w:rPr>
        <w:t>. If the Company distributes or dividends shares of Capital Stock of any class or series, or similar equity interests, of or relating to an Affiliate, a Subsidiary or other business unit of the Company to all or substantially all holders of the Common Stock (other than solely pursuant to (x) a Common Stock Change Event, as to which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5.09 will apply; or (y) a tender offer or exchange offer for shares of Common Stock, as to which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will apply), and such Capital Stock or equity interests are listed or quoted (or will be listed or quoted upon the consummation of the transaction)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then the Conversion Rate will be increased based on the following formula:</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center"/>
        <w:rPr>
          <w:caps w:val="false"/>
          <w:smallCaps w:val="false"/>
        </w:rPr>
      </w:pPr>
      <w:r>
        <w:rPr>
          <w:caps w:val="false"/>
          <w:smallCaps w:val="false"/>
        </w:rPr>
        <w:drawing>
          <wp:inline distT="0" distB="0" distL="0" distR="0">
            <wp:extent cx="1762125" cy="47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62125" cy="476250"/>
                    </a:xfrm>
                    <a:prstGeom prst="rect">
                      <a:avLst/>
                    </a:prstGeom>
                  </pic:spPr>
                </pic:pic>
              </a:graphicData>
            </a:graphic>
          </wp:inline>
        </w:drawing>
      </w:r>
    </w:p>
    <w:p>
      <w:pPr>
        <w:pStyle w:val="TextBody"/>
        <w:bidi w:val="0"/>
        <w:spacing w:before="0" w:after="0"/>
        <w:ind w:left="1440" w:right="0" w:hanging="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0"/>
        <w:gridCol w:w="155"/>
        <w:gridCol w:w="9520"/>
      </w:tblGrid>
      <w:tr>
        <w:trPr/>
        <w:tc>
          <w:tcPr>
            <w:tcW w:w="530" w:type="dxa"/>
            <w:tcBorders/>
            <w:vAlign w:val="center"/>
          </w:tcPr>
          <w:p>
            <w:pPr>
              <w:pStyle w:val="TableContents"/>
              <w:bidi w:val="0"/>
              <w:spacing w:before="0" w:after="283"/>
              <w:jc w:val="both"/>
              <w:rPr>
                <w:i/>
              </w:rPr>
            </w:pPr>
            <w:r>
              <w:rPr>
                <w:i/>
              </w:rPr>
              <w:t>CR</w:t>
            </w:r>
            <w:r>
              <w:rPr>
                <w:i/>
                <w:position w:val="-2"/>
                <w:sz w:val="19"/>
              </w:rPr>
              <w:t>0</w:t>
            </w:r>
          </w:p>
        </w:tc>
        <w:tc>
          <w:tcPr>
            <w:tcW w:w="155" w:type="dxa"/>
            <w:tcBorders/>
            <w:vAlign w:val="center"/>
          </w:tcPr>
          <w:p>
            <w:pPr>
              <w:pStyle w:val="TableContents"/>
              <w:bidi w:val="0"/>
              <w:spacing w:before="0" w:after="283"/>
              <w:jc w:val="center"/>
              <w:rPr/>
            </w:pPr>
            <w:r>
              <w:rPr/>
              <w:t>=</w:t>
            </w:r>
          </w:p>
        </w:tc>
        <w:tc>
          <w:tcPr>
            <w:tcW w:w="9520" w:type="dxa"/>
            <w:tcBorders/>
            <w:vAlign w:val="center"/>
          </w:tcPr>
          <w:p>
            <w:pPr>
              <w:pStyle w:val="TableContents"/>
              <w:bidi w:val="0"/>
              <w:spacing w:before="0" w:after="283"/>
              <w:jc w:val="both"/>
              <w:rPr/>
            </w:pPr>
            <w:r>
              <w:rPr/>
              <w:t>the Conversion Rate in effect immediately before the Close of Business on the last Trading Day of the Spin-Off Valuation Period for such Spin-Off;</w:t>
            </w:r>
          </w:p>
        </w:tc>
      </w:tr>
      <w:tr>
        <w:trPr/>
        <w:tc>
          <w:tcPr>
            <w:tcW w:w="53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20" w:type="dxa"/>
            <w:tcBorders/>
            <w:vAlign w:val="center"/>
          </w:tcPr>
          <w:p>
            <w:pPr>
              <w:pStyle w:val="TableContents"/>
              <w:bidi w:val="0"/>
              <w:spacing w:before="0" w:after="283"/>
              <w:jc w:val="both"/>
              <w:rPr/>
            </w:pPr>
            <w:r>
              <w:rPr/>
              <w:t> </w:t>
            </w:r>
          </w:p>
        </w:tc>
      </w:tr>
      <w:tr>
        <w:trPr/>
        <w:tc>
          <w:tcPr>
            <w:tcW w:w="530" w:type="dxa"/>
            <w:tcBorders/>
            <w:vAlign w:val="center"/>
          </w:tcPr>
          <w:p>
            <w:pPr>
              <w:pStyle w:val="TableContents"/>
              <w:bidi w:val="0"/>
              <w:spacing w:before="0" w:after="283"/>
              <w:jc w:val="both"/>
              <w:rPr>
                <w:i/>
              </w:rPr>
            </w:pPr>
            <w:r>
              <w:rPr>
                <w:i/>
              </w:rPr>
              <w:t>CR</w:t>
            </w:r>
            <w:r>
              <w:rPr>
                <w:i/>
                <w:position w:val="-2"/>
                <w:sz w:val="19"/>
              </w:rPr>
              <w:t>1</w:t>
            </w:r>
          </w:p>
        </w:tc>
        <w:tc>
          <w:tcPr>
            <w:tcW w:w="155" w:type="dxa"/>
            <w:tcBorders/>
            <w:vAlign w:val="center"/>
          </w:tcPr>
          <w:p>
            <w:pPr>
              <w:pStyle w:val="TableContents"/>
              <w:bidi w:val="0"/>
              <w:spacing w:before="0" w:after="283"/>
              <w:jc w:val="center"/>
              <w:rPr/>
            </w:pPr>
            <w:r>
              <w:rPr/>
              <w:t>=</w:t>
            </w:r>
          </w:p>
        </w:tc>
        <w:tc>
          <w:tcPr>
            <w:tcW w:w="9520" w:type="dxa"/>
            <w:tcBorders/>
            <w:vAlign w:val="center"/>
          </w:tcPr>
          <w:p>
            <w:pPr>
              <w:pStyle w:val="TableContents"/>
              <w:bidi w:val="0"/>
              <w:spacing w:before="0" w:after="283"/>
              <w:jc w:val="both"/>
              <w:rPr/>
            </w:pPr>
            <w:r>
              <w:rPr/>
              <w:t>the Conversion Rate in effect immediately after the Close of Business on the last Trading Day of the Spin-Off Valuation Period;</w:t>
            </w:r>
          </w:p>
        </w:tc>
      </w:tr>
      <w:tr>
        <w:trPr/>
        <w:tc>
          <w:tcPr>
            <w:tcW w:w="53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20" w:type="dxa"/>
            <w:tcBorders/>
            <w:vAlign w:val="center"/>
          </w:tcPr>
          <w:p>
            <w:pPr>
              <w:pStyle w:val="TableContents"/>
              <w:bidi w:val="0"/>
              <w:spacing w:before="0" w:after="283"/>
              <w:jc w:val="both"/>
              <w:rPr/>
            </w:pPr>
            <w:r>
              <w:rPr/>
              <w:t> </w:t>
            </w:r>
          </w:p>
        </w:tc>
      </w:tr>
      <w:tr>
        <w:trPr/>
        <w:tc>
          <w:tcPr>
            <w:tcW w:w="530" w:type="dxa"/>
            <w:tcBorders/>
            <w:vAlign w:val="center"/>
          </w:tcPr>
          <w:p>
            <w:pPr>
              <w:pStyle w:val="TableContents"/>
              <w:bidi w:val="0"/>
              <w:spacing w:before="0" w:after="283"/>
              <w:jc w:val="both"/>
              <w:rPr>
                <w:i/>
              </w:rPr>
            </w:pPr>
            <w:r>
              <w:rPr>
                <w:i/>
              </w:rPr>
              <w:t>FMV</w:t>
            </w:r>
          </w:p>
        </w:tc>
        <w:tc>
          <w:tcPr>
            <w:tcW w:w="155" w:type="dxa"/>
            <w:tcBorders/>
            <w:vAlign w:val="center"/>
          </w:tcPr>
          <w:p>
            <w:pPr>
              <w:pStyle w:val="TableContents"/>
              <w:bidi w:val="0"/>
              <w:spacing w:before="0" w:after="283"/>
              <w:jc w:val="center"/>
              <w:rPr/>
            </w:pPr>
            <w:r>
              <w:rPr/>
              <w:t>=</w:t>
            </w:r>
          </w:p>
        </w:tc>
        <w:tc>
          <w:tcPr>
            <w:tcW w:w="9520" w:type="dxa"/>
            <w:tcBorders/>
            <w:vAlign w:val="center"/>
          </w:tcPr>
          <w:p>
            <w:pPr>
              <w:pStyle w:val="TableContents"/>
              <w:bidi w:val="0"/>
              <w:spacing w:before="0" w:after="283"/>
              <w:jc w:val="both"/>
              <w:rPr/>
            </w:pPr>
            <w:r>
              <w:rPr/>
              <w:t>the product of (x) the average of the Last Reported Sale Prices per share or unit of the Capital Stock or equity interests distributed in such Spin-Off over the ten (10) consecutive Trading Day period (the “</w:t>
            </w:r>
            <w:r>
              <w:rPr>
                <w:b/>
              </w:rPr>
              <w:t>Spin-Off Valuation Period</w:t>
            </w:r>
            <w:r>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tc>
      </w:tr>
      <w:tr>
        <w:trPr/>
        <w:tc>
          <w:tcPr>
            <w:tcW w:w="53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20" w:type="dxa"/>
            <w:tcBorders/>
            <w:vAlign w:val="center"/>
          </w:tcPr>
          <w:p>
            <w:pPr>
              <w:pStyle w:val="TableContents"/>
              <w:bidi w:val="0"/>
              <w:spacing w:before="0" w:after="283"/>
              <w:jc w:val="both"/>
              <w:rPr/>
            </w:pPr>
            <w:r>
              <w:rPr/>
              <w:t> </w:t>
            </w:r>
          </w:p>
        </w:tc>
      </w:tr>
      <w:tr>
        <w:trPr/>
        <w:tc>
          <w:tcPr>
            <w:tcW w:w="530" w:type="dxa"/>
            <w:tcBorders/>
            <w:vAlign w:val="center"/>
          </w:tcPr>
          <w:p>
            <w:pPr>
              <w:pStyle w:val="TableContents"/>
              <w:bidi w:val="0"/>
              <w:spacing w:before="0" w:after="283"/>
              <w:jc w:val="both"/>
              <w:rPr>
                <w:i/>
              </w:rPr>
            </w:pPr>
            <w:r>
              <w:rPr>
                <w:i/>
              </w:rPr>
              <w:t>SP</w:t>
            </w:r>
          </w:p>
        </w:tc>
        <w:tc>
          <w:tcPr>
            <w:tcW w:w="155" w:type="dxa"/>
            <w:tcBorders/>
            <w:vAlign w:val="center"/>
          </w:tcPr>
          <w:p>
            <w:pPr>
              <w:pStyle w:val="TableContents"/>
              <w:bidi w:val="0"/>
              <w:spacing w:before="0" w:after="283"/>
              <w:jc w:val="center"/>
              <w:rPr/>
            </w:pPr>
            <w:r>
              <w:rPr/>
              <w:t>=</w:t>
            </w:r>
          </w:p>
        </w:tc>
        <w:tc>
          <w:tcPr>
            <w:tcW w:w="9520" w:type="dxa"/>
            <w:tcBorders/>
            <w:vAlign w:val="center"/>
          </w:tcPr>
          <w:p>
            <w:pPr>
              <w:pStyle w:val="TableContents"/>
              <w:bidi w:val="0"/>
              <w:spacing w:before="0" w:after="283"/>
              <w:jc w:val="both"/>
              <w:rPr/>
            </w:pPr>
            <w:r>
              <w:rPr/>
              <w:t>the average of the Last Reported Sale Prices per share of Common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for each Trading Day in the Spin-Off Valuation Period.</w:t>
      </w:r>
    </w:p>
    <w:p>
      <w:pPr>
        <w:pStyle w:val="TextBody"/>
        <w:bidi w:val="0"/>
        <w:spacing w:before="0" w:after="0"/>
        <w:ind w:left="2880" w:right="0" w:hanging="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 if any VWAP Trading Day of the Observation Period for a Note to be Converted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dividend or distribution of the type set forth in this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Cash Dividends or Distributions</w:t>
      </w:r>
      <w:r>
        <w:rPr>
          <w:rFonts w:ascii="Times New Roman;Times;Serif" w:hAnsi="Times New Roman;Times;Serif"/>
          <w:b w:val="false"/>
          <w:i w:val="false"/>
          <w:caps w:val="false"/>
          <w:smallCaps w:val="false"/>
          <w:sz w:val="20"/>
        </w:rPr>
        <w:t>. If any cash dividend or distribution is made to all or substantially all holders of Common Stock, then the Conversion Rate will be increased based on the following formula: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center"/>
        <w:rPr>
          <w:caps w:val="false"/>
          <w:smallCaps w:val="false"/>
        </w:rPr>
      </w:pPr>
      <w:r>
        <w:rPr>
          <w:caps w:val="false"/>
          <w:smallCaps w:val="false"/>
        </w:rPr>
        <w:drawing>
          <wp:inline distT="0" distB="0" distL="0" distR="0">
            <wp:extent cx="1514475" cy="533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14475" cy="533400"/>
                    </a:xfrm>
                    <a:prstGeom prst="rect">
                      <a:avLst/>
                    </a:prstGeom>
                  </pic:spPr>
                </pic:pic>
              </a:graphicData>
            </a:graphic>
          </wp:inline>
        </w:drawing>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both"/>
              <w:rPr>
                <w:i/>
              </w:rPr>
            </w:pPr>
            <w:r>
              <w:rPr>
                <w:i/>
              </w:rPr>
              <w:t>CR</w:t>
            </w:r>
            <w:r>
              <w:rPr>
                <w:i/>
                <w:position w:val="-2"/>
                <w:sz w:val="19"/>
              </w:rPr>
              <w:t>0</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Conversion Rate in effect immediately before the Open of Business on the Ex-Dividend Date for such dividend or distribution;</w:t>
            </w:r>
          </w:p>
        </w:tc>
      </w:tr>
      <w:tr>
        <w:trPr/>
        <w:tc>
          <w:tcPr>
            <w:tcW w:w="45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both"/>
              <w:rPr>
                <w:i/>
              </w:rPr>
            </w:pPr>
            <w:r>
              <w:rPr>
                <w:i/>
              </w:rPr>
              <w:t>CR</w:t>
            </w:r>
            <w:r>
              <w:rPr>
                <w:i/>
                <w:position w:val="-2"/>
                <w:sz w:val="19"/>
              </w:rPr>
              <w:t>1</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Conversion Rate in effect immediately after the Open of Business on such Ex-Dividend Date;</w:t>
            </w:r>
          </w:p>
        </w:tc>
      </w:tr>
      <w:tr>
        <w:trPr/>
        <w:tc>
          <w:tcPr>
            <w:tcW w:w="45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both"/>
              <w:rPr>
                <w:i/>
              </w:rPr>
            </w:pPr>
            <w:r>
              <w:rPr>
                <w:i/>
              </w:rPr>
              <w:t>SP</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Last Reported Sale Price per share of Common Stock on the Trading Day immediately before such Ex-Dividend Date; and</w:t>
            </w:r>
          </w:p>
        </w:tc>
      </w:tr>
      <w:tr>
        <w:trPr/>
        <w:tc>
          <w:tcPr>
            <w:tcW w:w="45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both"/>
              <w:rPr>
                <w:i/>
              </w:rPr>
            </w:pPr>
            <w:r>
              <w:rPr>
                <w:i/>
              </w:rPr>
              <w:t>D</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cash amount distributed per share of Common Stock in such dividend or distribution;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sz w:val="20"/>
        </w:rPr>
        <w:t>, then, in lieu of the foregoing adjustment to the Conversion Rate, each Holder will receive, for each $1,000 principal amount of Notes held by such Holder on the record date for such dividend or distribution, at the same time and on the same terms as holders of Common Stock and without having to Convert its Notes, the amount of cash that such Holder would have received in such dividend or distribution if such Holder had owned, on such record date, a number of shares of Common Stock equal to the Conversion Rate in effect on such record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dividend or distribution is declared but not made or paid, the Conversion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Rate will be readjusted to the Conversion Rate that would then be in effect had the adjustment been made on the basis of only the dividend or distribution, if any, actually made or paid.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Tender Offers or Exchange Offers</w:t>
      </w:r>
      <w:r>
        <w:rPr>
          <w:rFonts w:ascii="Times New Roman;Times;Serif" w:hAnsi="Times New Roman;Times;Serif"/>
          <w:b w:val="false"/>
          <w:i w:val="false"/>
          <w:caps w:val="false"/>
          <w:smallCaps w:val="false"/>
          <w:sz w:val="20"/>
        </w:rPr>
        <w:t>. If the Company or any of its Subsidiaries makes a payment in respect of a tender offer or exchange offer for shares of Common Stock (other than solely pursuant to an odd-lot tender offer pursuant to Rule 13e-4(h)(5) under the Exchange Act (or any successor rule)), and the value (determined as of the Expiration Time by the Company in good faith) of the cash and other consideration paid per share of Common Stock in such tender or exchange offer exceeds the Last Reported Sale Price per share of Common Stock on the Trading Day immediately after the last date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on which tenders or exchanges may be made pursuant to such tender or exchange offer (as it may be amended), then the Conversion Rate will be increased based on the following formula: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33600" cy="542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33600" cy="542925"/>
                    </a:xfrm>
                    <a:prstGeom prst="rect">
                      <a:avLst/>
                    </a:prstGeom>
                  </pic:spPr>
                </pic:pic>
              </a:graphicData>
            </a:graphic>
          </wp:inline>
        </w:drawing>
      </w:r>
      <w:r>
        <w:rPr>
          <w:caps w:val="false"/>
          <w:smallCaps w:val="false"/>
        </w:rPr>
        <w:t> </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both"/>
              <w:rPr>
                <w:i/>
              </w:rPr>
            </w:pPr>
            <w:r>
              <w:rPr>
                <w:i/>
              </w:rPr>
              <w:t>CR</w:t>
            </w:r>
            <w:r>
              <w:rPr>
                <w:i/>
                <w:position w:val="-2"/>
                <w:sz w:val="19"/>
              </w:rPr>
              <w:t>0</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Conversion Rate in effect immediately before the Close of Business on the last Trading Day of the Tender/Exchange Offer Valuation Period for such tender or exchange offer;</w:t>
            </w:r>
          </w:p>
        </w:tc>
      </w:tr>
      <w:tr>
        <w:trPr/>
        <w:tc>
          <w:tcPr>
            <w:tcW w:w="45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both"/>
              <w:rPr>
                <w:i/>
              </w:rPr>
            </w:pPr>
            <w:r>
              <w:rPr>
                <w:i/>
              </w:rPr>
              <w:t>CR</w:t>
            </w:r>
            <w:r>
              <w:rPr>
                <w:i/>
                <w:position w:val="-2"/>
                <w:sz w:val="19"/>
              </w:rPr>
              <w:t>1</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Conversion Rate in effect immediately after the Close of Business on the last Trading Day of the Tender/Exchange Offer Valuation Period;</w:t>
            </w:r>
          </w:p>
        </w:tc>
      </w:tr>
      <w:tr>
        <w:trPr/>
        <w:tc>
          <w:tcPr>
            <w:tcW w:w="45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both"/>
              <w:rPr>
                <w:i/>
              </w:rPr>
            </w:pPr>
            <w:r>
              <w:rPr>
                <w:i/>
              </w:rPr>
              <w:t>AC</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aggregate value (determined as of the time (the “</w:t>
            </w:r>
            <w:r>
              <w:rPr>
                <w:b/>
              </w:rPr>
              <w:t>Expiration Time</w:t>
            </w:r>
            <w:r>
              <w:rPr/>
              <w:t>”) such tender or exchange offer expires by the Company in good faith) of all cash and other consideration paid or payable for shares of Common Stock purchased or exchanged in such tender or exchange offer;</w:t>
            </w:r>
          </w:p>
        </w:tc>
      </w:tr>
      <w:tr>
        <w:trPr/>
        <w:tc>
          <w:tcPr>
            <w:tcW w:w="45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both"/>
              <w:rPr>
                <w:i/>
              </w:rPr>
            </w:pPr>
            <w:r>
              <w:rPr>
                <w:i/>
              </w:rPr>
              <w:t>OS</w:t>
            </w:r>
            <w:r>
              <w:rPr>
                <w:i/>
                <w:position w:val="-2"/>
                <w:sz w:val="19"/>
              </w:rPr>
              <w:t>0</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number of shares of Common Stock outstanding immediately before the Expiration Time (including all shares of Common Stock accepted for purchase or exchange in such tender or exchange offer);</w:t>
            </w:r>
          </w:p>
        </w:tc>
      </w:tr>
      <w:tr>
        <w:trPr/>
        <w:tc>
          <w:tcPr>
            <w:tcW w:w="45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both"/>
              <w:rPr>
                <w:i/>
              </w:rPr>
            </w:pPr>
            <w:r>
              <w:rPr>
                <w:i/>
              </w:rPr>
              <w:t>OS</w:t>
            </w:r>
            <w:r>
              <w:rPr>
                <w:i/>
                <w:position w:val="-2"/>
                <w:sz w:val="19"/>
              </w:rPr>
              <w:t>1</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number of shares of Common Stock outstanding immediately after the Expiration Time (excluding all shares of Common Stock accepted for purchase or exchange in such tender or exchange offer); and</w:t>
            </w:r>
          </w:p>
        </w:tc>
      </w:tr>
      <w:tr>
        <w:trPr/>
        <w:tc>
          <w:tcPr>
            <w:tcW w:w="45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both"/>
              <w:rPr>
                <w:i/>
              </w:rPr>
            </w:pPr>
            <w:r>
              <w:rPr>
                <w:i/>
              </w:rPr>
              <w:t>SP</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average of the Last Reported Sale Prices per share of Common Stock over the ten (10) consecutive Trading Day period (the “</w:t>
            </w:r>
            <w:r>
              <w:rPr>
                <w:b/>
              </w:rPr>
              <w:t>Tender/Exchange Offer Valuation Period</w:t>
            </w:r>
            <w:r>
              <w:rPr/>
              <w:t>”) beginning on, and including, the Trading Day immediately after the Expiration Date;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Conversion Rate will in no event be adjusted down pursuant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except to the extent provided in the immediately following paragraph. Notwithstanding anything to the contrary in this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if any VWAP Trading Day of the Observation Period for a Note to be Converted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 Adjustments in Certain Cases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Where Holders Participate in the Transaction or Event Without Conversion</w:t>
      </w:r>
      <w:r>
        <w:rPr>
          <w:rFonts w:ascii="Times New Roman;Times;Serif" w:hAnsi="Times New Roman;Times;Serif"/>
          <w:b w:val="false"/>
          <w:i w:val="false"/>
          <w:caps w:val="false"/>
          <w:smallCaps w:val="false"/>
          <w:sz w:val="20"/>
        </w:rPr>
        <w:t>. Notwithstanding anything to the contrary in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Company will not be obligated to adjust the Conversion Rate on account of a transaction or other event otherwise requiring an adjustment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(other than a stock split or combination of the type set forth in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or a tender or exchange offer of the type set forth in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Certain Events</w:t>
      </w:r>
      <w:r>
        <w:rPr>
          <w:rFonts w:ascii="Times New Roman;Times;Serif" w:hAnsi="Times New Roman;Times;Serif"/>
          <w:b w:val="false"/>
          <w:i w:val="false"/>
          <w:caps w:val="false"/>
          <w:smallCaps w:val="false"/>
          <w:sz w:val="20"/>
        </w:rPr>
        <w:t>. The Company will not be required to adjust the Conversion Rate except as provided in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5.05 or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5.07. Without limiting the foregoing, the Company will not be obligated to adjust the Conversion Rate on account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as otherwise provided in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5.05, the sale of shares of Common Stock for a purchase price that is less than the market price per share of Common Stock or less than the Conversion Price;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issuance of any shares of Common Stock or options or rights to purchase shares of Common Stock pursuant to any present or future employee,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or consultant benefit plan or program of, or assumed by, the Company or any of its Subsidiaries;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issuance of any shares of Common Stock pursuant to any option, warrant, right or convertible or exchangeable security of the Company outstanding as of the Issue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solely a change in the par value of the Common Stock;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accrued and unpaid interest on the Notes.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Adjustment Deferral</w:t>
      </w:r>
      <w:r>
        <w:rPr>
          <w:rFonts w:ascii="Times New Roman;Times;Serif" w:hAnsi="Times New Roman;Times;Serif"/>
          <w:b w:val="false"/>
          <w:i w:val="false"/>
          <w:caps w:val="false"/>
          <w:smallCaps w:val="false"/>
          <w:sz w:val="20"/>
        </w:rPr>
        <w:t>. If an adjustment to the Conversion Rate otherwise required by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would result in a change of less than one percent (1%) to the Conversion Rate, then, notwithstanding anything to the contrary in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one percent (1%) to the Conversion Rate; (ii) the Conversion Date of, or any VWAP Trading Day of an Observation Period for, any Note; (iii) the date a Fundamental Change or Make-Whole Fundamental Change occurs; (iv) the date the Company calls any Notes for Redemption; and (v) June 1,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Adjustments Not Yet Effective</w:t>
      </w:r>
      <w:r>
        <w:rPr>
          <w:rFonts w:ascii="Times New Roman;Times;Serif" w:hAnsi="Times New Roman;Times;Serif"/>
          <w:b w:val="false"/>
          <w:i w:val="false"/>
          <w:caps w:val="false"/>
          <w:smallCaps w:val="false"/>
          <w:sz w:val="20"/>
        </w:rPr>
        <w:t>. Notwithstanding anything to the contrary in this Indenture or the Notes,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Note is to be Converted pursuant to Combination Settlement;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record date, Effective Date or Expiration Time for any event that requires an adjustment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has occurred on or before any VWAP Trading Day in the Observation Period for such Conversion, but an adjustment to the Conversion Rate for such event has not yet become effective as of such VWAP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Conversion Consideration due in respect of such VWAP Trading Day includes any whole or fractional shares of Common Stock;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shares are not entitled to participate in such event (because they were not held on the related record date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solely for purposes of such Conversion, the Company will, without duplication, give effect to such adjustment on such VWAP Trading Day.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determination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Conversion Rate Adjustments Where Converting Holders Participate in the Relevant Transaction or Event</w:t>
      </w:r>
      <w:r>
        <w:rPr>
          <w:rFonts w:ascii="Times New Roman;Times;Serif" w:hAnsi="Times New Roman;Times;Serif"/>
          <w:b w:val="false"/>
          <w:i w:val="false"/>
          <w:caps w:val="false"/>
          <w:smallCaps w:val="false"/>
          <w:sz w:val="20"/>
        </w:rPr>
        <w:t>. Notwithstanding anything to the contrary in this Indenture or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Conversion Rate adjustment for any dividend or distribution becomes effective on any Ex-Dividend Date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Note is to be Converted pursuant to Combination Settlement;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VWAP Trading Day in the Observation Period for such Conversion occurs on or after such Ex-Dividend Date and on or before the related record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Conversion Consideration due in respect of such VWAP Trading Day would otherwise include any whole or fractional shares of Common Stock based on a Conversion Rate that is adjusted for such dividend or distribution;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such shares would be entitled to participate in such dividend or distribution (including pursuant to ‎</w:t>
      </w:r>
      <w:r>
        <w:rPr>
          <w:rFonts w:ascii="Times New Roman;Times;Serif" w:hAnsi="Times New Roman;Times;Serif"/>
          <w:b/>
          <w:i w:val="false"/>
          <w:caps w:val="false"/>
          <w:smallCaps w:val="false"/>
          <w:sz w:val="20"/>
        </w:rPr>
        <w:t>Section 5.02(C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Conversion Rate adjustment relating to such Ex-Dividend Date will not be made for such Conversion in respect of such VWAP Trading Day, and, instead, the shares of Common Stock issuable with respect to such VWAP Trading Day will be entitled to participate in such dividend or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Stockholder Rights Plans</w:t>
      </w:r>
      <w:r>
        <w:rPr>
          <w:rFonts w:ascii="Times New Roman;Times;Serif" w:hAnsi="Times New Roman;Times;Serif"/>
          <w:b w:val="false"/>
          <w:i w:val="false"/>
          <w:caps w:val="false"/>
          <w:smallCaps w:val="false"/>
          <w:sz w:val="20"/>
        </w:rPr>
        <w:t>. If any shares of Common Stock are to be issued upon Conversion of any Note and, at the time of such Conversion, 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Times;Serif" w:hAnsi="Times New Roman;Times;Serif"/>
          <w:b/>
          <w:i w:val="false"/>
          <w:caps w:val="false"/>
          <w:smallCaps w:val="false"/>
          <w:sz w:val="20"/>
        </w:rPr>
        <w:t>Section 5.05(A)(iii)(1</w:t>
      </w:r>
      <w:r>
        <w:rPr>
          <w:rFonts w:ascii="Times New Roman;Times;Serif" w:hAnsi="Times New Roman;Times;Serif"/>
          <w:b w:val="false"/>
          <w:i w:val="false"/>
          <w:caps w:val="false"/>
          <w:smallCaps w:val="false"/>
          <w:sz w:val="20"/>
        </w:rPr>
        <w:t>) on account of such separation as if, at the time of such separation, the Company had made a distribution of the type referred to in such Section to all holders of the Common Stock, subject to potential readjustment in accordance with the last paragraph of ‎</w:t>
      </w:r>
      <w:r>
        <w:rPr>
          <w:rFonts w:ascii="Times New Roman;Times;Serif" w:hAnsi="Times New Roman;Times;Serif"/>
          <w:b/>
          <w:i w:val="false"/>
          <w:caps w:val="false"/>
          <w:smallCaps w:val="false"/>
          <w:sz w:val="20"/>
        </w:rPr>
        <w:t>Section 5.05(A)(iii)(1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Limitation on Effecting Transactions Resulting in Certain Adjustments</w:t>
      </w:r>
      <w:r>
        <w:rPr>
          <w:rFonts w:ascii="Times New Roman;Times;Serif" w:hAnsi="Times New Roman;Times;Serif"/>
          <w:b w:val="false"/>
          <w:i w:val="false"/>
          <w:caps w:val="false"/>
          <w:smallCaps w:val="false"/>
          <w:sz w:val="20"/>
        </w:rPr>
        <w:t>. The Company will not engage in or be a party to any transaction or event that would require the Conversion Rate to be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5.07 to an amount that would result in the Conversion Price per share of Common Stock being less than the par value per share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Equitable Adjustments to Prices</w:t>
      </w:r>
      <w:r>
        <w:rPr>
          <w:rFonts w:ascii="Times New Roman;Times;Serif" w:hAnsi="Times New Roman;Times;Serif"/>
          <w:b w:val="false"/>
          <w:i w:val="false"/>
          <w:caps w:val="false"/>
          <w:smallCaps w:val="false"/>
          <w:sz w:val="20"/>
        </w:rPr>
        <w:t>. Whenever any provision of this Indenture requires the Company to calculate the Last Reported Sale Prices, the Daily VWAPs, the Daily Conversion Values, the Daily Cash Amounts or the Daily Share Amounts over a period of multiple days (including over an Observation Period and the period, if any, for determining the Stock Price for purposes of a Make-Whole Fundamental Change), the Company will, acting in good faith and in a commercially reasonable manner, make appropriate adjustments, if any, to each to account for any adjustment to the Conversion Rate that becomes effective, or any event requiring an adjustment to the Conversion Rate where the Ex-Dividend Date, Effective Date or Expiration Date of the event occurs, at any time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Calculation of Number of Outstanding Shares of Common Stock</w:t>
      </w:r>
      <w:r>
        <w:rPr>
          <w:rFonts w:ascii="Times New Roman;Times;Serif" w:hAnsi="Times New Roman;Times;Serif"/>
          <w:b w:val="false"/>
          <w:i w:val="false"/>
          <w:caps w:val="false"/>
          <w:smallCaps w:val="false"/>
          <w:sz w:val="20"/>
        </w:rPr>
        <w:t>. For purposes of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number of shares of Common 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Calculations</w:t>
      </w:r>
      <w:r>
        <w:rPr>
          <w:rFonts w:ascii="Times New Roman;Times;Serif" w:hAnsi="Times New Roman;Times;Serif"/>
          <w:b w:val="false"/>
          <w:i w:val="false"/>
          <w:caps w:val="false"/>
          <w:smallCaps w:val="false"/>
          <w:sz w:val="20"/>
        </w:rPr>
        <w:t>. All calculations with respect to the Conversion Rate and adjustments thereto will be made to the nearest 1/10,000th of a share of Common Stock (with 5/100,000ths rounded upward).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Notice of Conversion Rate Adjustments</w:t>
      </w:r>
      <w:r>
        <w:rPr>
          <w:rFonts w:ascii="Times New Roman;Times;Serif" w:hAnsi="Times New Roman;Times;Serif"/>
          <w:b w:val="false"/>
          <w:i w:val="false"/>
          <w:caps w:val="false"/>
          <w:smallCaps w:val="false"/>
          <w:sz w:val="20"/>
        </w:rPr>
        <w:t>. Upon the effectiveness of any adjustment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5.06.   Voluntary Adjustments.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To the extent permitted by law and applicable stock exchange rules, the Company, from time to time, may (but is not required 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Notice of Voluntary Increases</w:t>
      </w:r>
      <w:r>
        <w:rPr>
          <w:rFonts w:ascii="Times New Roman;Times;Serif" w:hAnsi="Times New Roman;Times;Serif"/>
          <w:b w:val="false"/>
          <w:i w:val="false"/>
          <w:caps w:val="false"/>
          <w:smallCaps w:val="false"/>
          <w:sz w:val="20"/>
        </w:rPr>
        <w:t>. If the Board of Directors determines to increase the Conversion Rate pursuant to ‎</w:t>
      </w:r>
      <w:r>
        <w:rPr>
          <w:rFonts w:ascii="Times New Roman;Times;Serif" w:hAnsi="Times New Roman;Times;Serif"/>
          <w:b/>
          <w:i w:val="false"/>
          <w:caps w:val="false"/>
          <w:smallCaps w:val="false"/>
          <w:sz w:val="20"/>
        </w:rPr>
        <w:t>Section 5.06(A</w:t>
      </w:r>
      <w:r>
        <w:rPr>
          <w:rFonts w:ascii="Times New Roman;Times;Serif" w:hAnsi="Times New Roman;Times;Serif"/>
          <w:b w:val="false"/>
          <w:i w:val="false"/>
          <w:caps w:val="false"/>
          <w:smallCaps w:val="false"/>
          <w:sz w:val="20"/>
        </w:rPr>
        <w:t>), then, no later than the first Business Day of the related twenty (20) or more Business Day period referred to in ‎</w:t>
      </w:r>
      <w:r>
        <w:rPr>
          <w:rFonts w:ascii="Times New Roman;Times;Serif" w:hAnsi="Times New Roman;Times;Serif"/>
          <w:b/>
          <w:i w:val="false"/>
          <w:caps w:val="false"/>
          <w:smallCaps w:val="false"/>
          <w:sz w:val="20"/>
        </w:rPr>
        <w:t>Section 5.06(A</w:t>
      </w:r>
      <w:r>
        <w:rPr>
          <w:rFonts w:ascii="Times New Roman;Times;Serif" w:hAnsi="Times New Roman;Times;Serif"/>
          <w:b w:val="false"/>
          <w:i w:val="false"/>
          <w:caps w:val="false"/>
          <w:smallCaps w:val="false"/>
          <w:sz w:val="20"/>
        </w:rPr>
        <w:t>), the Company will send notice to each Holder, the Trustee and the Conversion Agent of such increase, the amount thereof and the period during which such increase will be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5.07.   Adjustments to the Conversion Rate in Connection with a Make-Whole Fundamental Change.</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If a Make-Whole Fundamental Change occurs with respect to any Note and the Conversion Date for the Conversion of such Note occurs during the related Make-Whole Fundamental Change Conversion Period, then, subject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5.07, the Conversion Rate applicable to such Conversion will be increased by a number of shares (the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set forth in the table below corresponding (after interpolation as provided in, and subject to, the provisions below) to the Make-Whole Fundamental Change Effective Date and the Stock Price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Make-Whole Fundamental Change:</w:t>
      </w:r>
    </w:p>
    <w:p>
      <w:pPr>
        <w:pStyle w:val="TextBody"/>
        <w:bidi w:val="0"/>
        <w:spacing w:before="0" w:after="0"/>
        <w:ind w:left="0" w:right="0" w:hanging="0"/>
        <w:jc w:val="both"/>
        <w:rPr>
          <w:caps w:val="false"/>
          <w:smallCaps w:val="false"/>
        </w:rPr>
      </w:pPr>
      <w:r>
        <w:rPr>
          <w:caps w:val="false"/>
          <w:smallCaps w:val="false"/>
        </w:rPr>
        <w:t> </w:t>
      </w:r>
    </w:p>
    <w:tbl>
      <w:tblPr>
        <w:tblW w:w="10080" w:type="dxa"/>
        <w:jc w:val="left"/>
        <w:tblInd w:w="0" w:type="dxa"/>
        <w:tblLayout w:type="fixed"/>
        <w:tblCellMar>
          <w:top w:w="0" w:type="dxa"/>
          <w:left w:w="0" w:type="dxa"/>
          <w:bottom w:w="0" w:type="dxa"/>
          <w:right w:w="0" w:type="dxa"/>
        </w:tblCellMar>
      </w:tblPr>
      <w:tblGrid>
        <w:gridCol w:w="3860"/>
        <w:gridCol w:w="515"/>
        <w:gridCol w:w="515"/>
        <w:gridCol w:w="515"/>
        <w:gridCol w:w="515"/>
        <w:gridCol w:w="515"/>
        <w:gridCol w:w="605"/>
        <w:gridCol w:w="605"/>
        <w:gridCol w:w="605"/>
        <w:gridCol w:w="605"/>
        <w:gridCol w:w="605"/>
        <w:gridCol w:w="620"/>
      </w:tblGrid>
      <w:tr>
        <w:trPr/>
        <w:tc>
          <w:tcPr>
            <w:tcW w:w="3860" w:type="dxa"/>
            <w:tcBorders/>
            <w:vAlign w:val="center"/>
          </w:tcPr>
          <w:p>
            <w:pPr>
              <w:pStyle w:val="TableContents"/>
              <w:bidi w:val="0"/>
              <w:spacing w:before="0" w:after="283"/>
              <w:jc w:val="both"/>
              <w:rPr/>
            </w:pPr>
            <w:r>
              <w:rPr/>
              <w:t> </w:t>
            </w:r>
          </w:p>
        </w:tc>
        <w:tc>
          <w:tcPr>
            <w:tcW w:w="6220" w:type="dxa"/>
            <w:gridSpan w:val="11"/>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 Price</w:t>
            </w:r>
          </w:p>
        </w:tc>
      </w:tr>
      <w:tr>
        <w:trPr/>
        <w:tc>
          <w:tcPr>
            <w:tcW w:w="3860"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Make-Whole Fundamental Change Effective Date</w:t>
            </w:r>
          </w:p>
        </w:tc>
        <w:tc>
          <w:tcPr>
            <w:tcW w:w="5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$57.01</w:t>
            </w:r>
          </w:p>
        </w:tc>
        <w:tc>
          <w:tcPr>
            <w:tcW w:w="5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$65.50</w:t>
            </w:r>
          </w:p>
        </w:tc>
        <w:tc>
          <w:tcPr>
            <w:tcW w:w="5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$74.11</w:t>
            </w:r>
          </w:p>
        </w:tc>
        <w:tc>
          <w:tcPr>
            <w:tcW w:w="5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$85.00</w:t>
            </w:r>
          </w:p>
        </w:tc>
        <w:tc>
          <w:tcPr>
            <w:tcW w:w="5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$96.34</w:t>
            </w:r>
          </w:p>
        </w:tc>
        <w:tc>
          <w:tcPr>
            <w:tcW w:w="6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$125.00</w:t>
            </w:r>
          </w:p>
        </w:tc>
        <w:tc>
          <w:tcPr>
            <w:tcW w:w="6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$150.00</w:t>
            </w:r>
          </w:p>
        </w:tc>
        <w:tc>
          <w:tcPr>
            <w:tcW w:w="6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$200.00</w:t>
            </w:r>
          </w:p>
        </w:tc>
        <w:tc>
          <w:tcPr>
            <w:tcW w:w="6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$250.00</w:t>
            </w:r>
          </w:p>
        </w:tc>
        <w:tc>
          <w:tcPr>
            <w:tcW w:w="6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$300.00</w:t>
            </w:r>
          </w:p>
        </w:tc>
        <w:tc>
          <w:tcPr>
            <w:tcW w:w="62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$400.00</w:t>
            </w:r>
          </w:p>
        </w:tc>
      </w:tr>
      <w:tr>
        <w:trPr/>
        <w:tc>
          <w:tcPr>
            <w:tcW w:w="3860" w:type="dxa"/>
            <w:tcBorders/>
            <w:vAlign w:val="center"/>
          </w:tcPr>
          <w:p>
            <w:pPr>
              <w:pStyle w:val="TableContents"/>
              <w:bidi w:val="0"/>
              <w:spacing w:before="0" w:after="283"/>
              <w:jc w:val="both"/>
              <w:rPr>
                <w:sz w:val="18"/>
              </w:rPr>
            </w:pPr>
            <w:r>
              <w:rPr>
                <w:sz w:val="18"/>
              </w:rPr>
              <w:t>August 13, 2024</w:t>
              <w:tab/>
            </w:r>
          </w:p>
        </w:tc>
        <w:tc>
          <w:tcPr>
            <w:tcW w:w="515" w:type="dxa"/>
            <w:tcBorders/>
            <w:vAlign w:val="center"/>
          </w:tcPr>
          <w:p>
            <w:pPr>
              <w:pStyle w:val="TableContents"/>
              <w:bidi w:val="0"/>
              <w:spacing w:before="0" w:after="283"/>
              <w:jc w:val="center"/>
              <w:rPr>
                <w:sz w:val="18"/>
              </w:rPr>
            </w:pPr>
            <w:r>
              <w:rPr>
                <w:sz w:val="18"/>
              </w:rPr>
              <w:t>4.0478</w:t>
            </w:r>
          </w:p>
        </w:tc>
        <w:tc>
          <w:tcPr>
            <w:tcW w:w="515" w:type="dxa"/>
            <w:tcBorders/>
            <w:vAlign w:val="center"/>
          </w:tcPr>
          <w:p>
            <w:pPr>
              <w:pStyle w:val="TableContents"/>
              <w:bidi w:val="0"/>
              <w:spacing w:before="0" w:after="283"/>
              <w:jc w:val="center"/>
              <w:rPr>
                <w:sz w:val="18"/>
              </w:rPr>
            </w:pPr>
            <w:r>
              <w:rPr>
                <w:sz w:val="18"/>
              </w:rPr>
              <w:t>2.9931</w:t>
            </w:r>
          </w:p>
        </w:tc>
        <w:tc>
          <w:tcPr>
            <w:tcW w:w="515" w:type="dxa"/>
            <w:tcBorders/>
            <w:vAlign w:val="center"/>
          </w:tcPr>
          <w:p>
            <w:pPr>
              <w:pStyle w:val="TableContents"/>
              <w:bidi w:val="0"/>
              <w:spacing w:before="0" w:after="283"/>
              <w:jc w:val="center"/>
              <w:rPr>
                <w:sz w:val="18"/>
              </w:rPr>
            </w:pPr>
            <w:r>
              <w:rPr>
                <w:sz w:val="18"/>
              </w:rPr>
              <w:t>2.2666</w:t>
            </w:r>
          </w:p>
        </w:tc>
        <w:tc>
          <w:tcPr>
            <w:tcW w:w="515" w:type="dxa"/>
            <w:tcBorders/>
            <w:vAlign w:val="center"/>
          </w:tcPr>
          <w:p>
            <w:pPr>
              <w:pStyle w:val="TableContents"/>
              <w:bidi w:val="0"/>
              <w:spacing w:before="0" w:after="283"/>
              <w:jc w:val="center"/>
              <w:rPr>
                <w:sz w:val="18"/>
              </w:rPr>
            </w:pPr>
            <w:r>
              <w:rPr>
                <w:sz w:val="18"/>
              </w:rPr>
              <w:t>1.6499</w:t>
            </w:r>
          </w:p>
        </w:tc>
        <w:tc>
          <w:tcPr>
            <w:tcW w:w="515" w:type="dxa"/>
            <w:tcBorders/>
            <w:vAlign w:val="center"/>
          </w:tcPr>
          <w:p>
            <w:pPr>
              <w:pStyle w:val="TableContents"/>
              <w:bidi w:val="0"/>
              <w:spacing w:before="0" w:after="283"/>
              <w:jc w:val="center"/>
              <w:rPr>
                <w:sz w:val="18"/>
              </w:rPr>
            </w:pPr>
            <w:r>
              <w:rPr>
                <w:sz w:val="18"/>
              </w:rPr>
              <w:t>1.2263</w:t>
            </w:r>
          </w:p>
        </w:tc>
        <w:tc>
          <w:tcPr>
            <w:tcW w:w="605" w:type="dxa"/>
            <w:tcBorders/>
            <w:vAlign w:val="center"/>
          </w:tcPr>
          <w:p>
            <w:pPr>
              <w:pStyle w:val="TableContents"/>
              <w:bidi w:val="0"/>
              <w:spacing w:before="0" w:after="283"/>
              <w:jc w:val="center"/>
              <w:rPr>
                <w:sz w:val="18"/>
              </w:rPr>
            </w:pPr>
            <w:r>
              <w:rPr>
                <w:sz w:val="18"/>
              </w:rPr>
              <w:t>0.6502</w:t>
            </w:r>
          </w:p>
        </w:tc>
        <w:tc>
          <w:tcPr>
            <w:tcW w:w="605" w:type="dxa"/>
            <w:tcBorders/>
            <w:vAlign w:val="center"/>
          </w:tcPr>
          <w:p>
            <w:pPr>
              <w:pStyle w:val="TableContents"/>
              <w:bidi w:val="0"/>
              <w:spacing w:before="0" w:after="283"/>
              <w:jc w:val="center"/>
              <w:rPr>
                <w:sz w:val="18"/>
              </w:rPr>
            </w:pPr>
            <w:r>
              <w:rPr>
                <w:sz w:val="18"/>
              </w:rPr>
              <w:t>0.4099</w:t>
            </w:r>
          </w:p>
        </w:tc>
        <w:tc>
          <w:tcPr>
            <w:tcW w:w="605" w:type="dxa"/>
            <w:tcBorders/>
            <w:vAlign w:val="center"/>
          </w:tcPr>
          <w:p>
            <w:pPr>
              <w:pStyle w:val="TableContents"/>
              <w:bidi w:val="0"/>
              <w:spacing w:before="0" w:after="283"/>
              <w:jc w:val="center"/>
              <w:rPr>
                <w:sz w:val="18"/>
              </w:rPr>
            </w:pPr>
            <w:r>
              <w:rPr>
                <w:sz w:val="18"/>
              </w:rPr>
              <w:t>0.1852</w:t>
            </w:r>
          </w:p>
        </w:tc>
        <w:tc>
          <w:tcPr>
            <w:tcW w:w="605" w:type="dxa"/>
            <w:tcBorders/>
            <w:vAlign w:val="center"/>
          </w:tcPr>
          <w:p>
            <w:pPr>
              <w:pStyle w:val="TableContents"/>
              <w:bidi w:val="0"/>
              <w:spacing w:before="0" w:after="283"/>
              <w:jc w:val="center"/>
              <w:rPr>
                <w:sz w:val="18"/>
              </w:rPr>
            </w:pPr>
            <w:r>
              <w:rPr>
                <w:sz w:val="18"/>
              </w:rPr>
              <w:t>0.0870</w:t>
            </w:r>
          </w:p>
        </w:tc>
        <w:tc>
          <w:tcPr>
            <w:tcW w:w="605" w:type="dxa"/>
            <w:tcBorders/>
            <w:vAlign w:val="center"/>
          </w:tcPr>
          <w:p>
            <w:pPr>
              <w:pStyle w:val="TableContents"/>
              <w:bidi w:val="0"/>
              <w:spacing w:before="0" w:after="283"/>
              <w:jc w:val="center"/>
              <w:rPr>
                <w:sz w:val="18"/>
              </w:rPr>
            </w:pPr>
            <w:r>
              <w:rPr>
                <w:sz w:val="18"/>
              </w:rPr>
              <w:t>0.0372</w:t>
            </w:r>
          </w:p>
        </w:tc>
        <w:tc>
          <w:tcPr>
            <w:tcW w:w="620" w:type="dxa"/>
            <w:tcBorders/>
            <w:vAlign w:val="center"/>
          </w:tcPr>
          <w:p>
            <w:pPr>
              <w:pStyle w:val="TableContents"/>
              <w:bidi w:val="0"/>
              <w:spacing w:before="0" w:after="283"/>
              <w:jc w:val="center"/>
              <w:rPr>
                <w:sz w:val="18"/>
              </w:rPr>
            </w:pPr>
            <w:r>
              <w:rPr>
                <w:sz w:val="18"/>
              </w:rPr>
              <w:t>0.0000</w:t>
            </w:r>
          </w:p>
        </w:tc>
      </w:tr>
      <w:tr>
        <w:trPr/>
        <w:tc>
          <w:tcPr>
            <w:tcW w:w="3860" w:type="dxa"/>
            <w:tcBorders/>
            <w:vAlign w:val="center"/>
          </w:tcPr>
          <w:p>
            <w:pPr>
              <w:pStyle w:val="TableContents"/>
              <w:bidi w:val="0"/>
              <w:spacing w:before="0" w:after="283"/>
              <w:jc w:val="both"/>
              <w:rPr>
                <w:sz w:val="18"/>
              </w:rPr>
            </w:pPr>
            <w:r>
              <w:rPr>
                <w:sz w:val="18"/>
              </w:rPr>
              <w:t>September 1, 2025</w:t>
              <w:tab/>
            </w:r>
          </w:p>
        </w:tc>
        <w:tc>
          <w:tcPr>
            <w:tcW w:w="515" w:type="dxa"/>
            <w:tcBorders/>
            <w:vAlign w:val="center"/>
          </w:tcPr>
          <w:p>
            <w:pPr>
              <w:pStyle w:val="TableContents"/>
              <w:bidi w:val="0"/>
              <w:spacing w:before="0" w:after="283"/>
              <w:jc w:val="center"/>
              <w:rPr>
                <w:sz w:val="18"/>
              </w:rPr>
            </w:pPr>
            <w:r>
              <w:rPr>
                <w:sz w:val="18"/>
              </w:rPr>
              <w:t>4.0478</w:t>
            </w:r>
          </w:p>
        </w:tc>
        <w:tc>
          <w:tcPr>
            <w:tcW w:w="515" w:type="dxa"/>
            <w:tcBorders/>
            <w:vAlign w:val="center"/>
          </w:tcPr>
          <w:p>
            <w:pPr>
              <w:pStyle w:val="TableContents"/>
              <w:bidi w:val="0"/>
              <w:spacing w:before="0" w:after="283"/>
              <w:jc w:val="center"/>
              <w:rPr>
                <w:sz w:val="18"/>
              </w:rPr>
            </w:pPr>
            <w:r>
              <w:rPr>
                <w:sz w:val="18"/>
              </w:rPr>
              <w:t>2.9631</w:t>
            </w:r>
          </w:p>
        </w:tc>
        <w:tc>
          <w:tcPr>
            <w:tcW w:w="515" w:type="dxa"/>
            <w:tcBorders/>
            <w:vAlign w:val="center"/>
          </w:tcPr>
          <w:p>
            <w:pPr>
              <w:pStyle w:val="TableContents"/>
              <w:bidi w:val="0"/>
              <w:spacing w:before="0" w:after="283"/>
              <w:jc w:val="center"/>
              <w:rPr>
                <w:sz w:val="18"/>
              </w:rPr>
            </w:pPr>
            <w:r>
              <w:rPr>
                <w:sz w:val="18"/>
              </w:rPr>
              <w:t>2.1904</w:t>
            </w:r>
          </w:p>
        </w:tc>
        <w:tc>
          <w:tcPr>
            <w:tcW w:w="515" w:type="dxa"/>
            <w:tcBorders/>
            <w:vAlign w:val="center"/>
          </w:tcPr>
          <w:p>
            <w:pPr>
              <w:pStyle w:val="TableContents"/>
              <w:bidi w:val="0"/>
              <w:spacing w:before="0" w:after="283"/>
              <w:jc w:val="center"/>
              <w:rPr>
                <w:sz w:val="18"/>
              </w:rPr>
            </w:pPr>
            <w:r>
              <w:rPr>
                <w:sz w:val="18"/>
              </w:rPr>
              <w:t>1.5489</w:t>
            </w:r>
          </w:p>
        </w:tc>
        <w:tc>
          <w:tcPr>
            <w:tcW w:w="515" w:type="dxa"/>
            <w:tcBorders/>
            <w:vAlign w:val="center"/>
          </w:tcPr>
          <w:p>
            <w:pPr>
              <w:pStyle w:val="TableContents"/>
              <w:bidi w:val="0"/>
              <w:spacing w:before="0" w:after="283"/>
              <w:jc w:val="center"/>
              <w:rPr>
                <w:sz w:val="18"/>
              </w:rPr>
            </w:pPr>
            <w:r>
              <w:rPr>
                <w:sz w:val="18"/>
              </w:rPr>
              <w:t>1.1208</w:t>
            </w:r>
          </w:p>
        </w:tc>
        <w:tc>
          <w:tcPr>
            <w:tcW w:w="605" w:type="dxa"/>
            <w:tcBorders/>
            <w:vAlign w:val="center"/>
          </w:tcPr>
          <w:p>
            <w:pPr>
              <w:pStyle w:val="TableContents"/>
              <w:bidi w:val="0"/>
              <w:spacing w:before="0" w:after="283"/>
              <w:jc w:val="center"/>
              <w:rPr>
                <w:sz w:val="18"/>
              </w:rPr>
            </w:pPr>
            <w:r>
              <w:rPr>
                <w:sz w:val="18"/>
              </w:rPr>
              <w:t>0.5659</w:t>
            </w:r>
          </w:p>
        </w:tc>
        <w:tc>
          <w:tcPr>
            <w:tcW w:w="605" w:type="dxa"/>
            <w:tcBorders/>
            <w:vAlign w:val="center"/>
          </w:tcPr>
          <w:p>
            <w:pPr>
              <w:pStyle w:val="TableContents"/>
              <w:bidi w:val="0"/>
              <w:spacing w:before="0" w:after="283"/>
              <w:jc w:val="center"/>
              <w:rPr>
                <w:sz w:val="18"/>
              </w:rPr>
            </w:pPr>
            <w:r>
              <w:rPr>
                <w:sz w:val="18"/>
              </w:rPr>
              <w:t>0.3486</w:t>
            </w:r>
          </w:p>
        </w:tc>
        <w:tc>
          <w:tcPr>
            <w:tcW w:w="605" w:type="dxa"/>
            <w:tcBorders/>
            <w:vAlign w:val="center"/>
          </w:tcPr>
          <w:p>
            <w:pPr>
              <w:pStyle w:val="TableContents"/>
              <w:bidi w:val="0"/>
              <w:spacing w:before="0" w:after="283"/>
              <w:jc w:val="center"/>
              <w:rPr>
                <w:sz w:val="18"/>
              </w:rPr>
            </w:pPr>
            <w:r>
              <w:rPr>
                <w:sz w:val="18"/>
              </w:rPr>
              <w:t>0.1551</w:t>
            </w:r>
          </w:p>
        </w:tc>
        <w:tc>
          <w:tcPr>
            <w:tcW w:w="605" w:type="dxa"/>
            <w:tcBorders/>
            <w:vAlign w:val="center"/>
          </w:tcPr>
          <w:p>
            <w:pPr>
              <w:pStyle w:val="TableContents"/>
              <w:bidi w:val="0"/>
              <w:spacing w:before="0" w:after="283"/>
              <w:jc w:val="center"/>
              <w:rPr>
                <w:sz w:val="18"/>
              </w:rPr>
            </w:pPr>
            <w:r>
              <w:rPr>
                <w:sz w:val="18"/>
              </w:rPr>
              <w:t>0.0726</w:t>
            </w:r>
          </w:p>
        </w:tc>
        <w:tc>
          <w:tcPr>
            <w:tcW w:w="605" w:type="dxa"/>
            <w:tcBorders/>
            <w:vAlign w:val="center"/>
          </w:tcPr>
          <w:p>
            <w:pPr>
              <w:pStyle w:val="TableContents"/>
              <w:bidi w:val="0"/>
              <w:spacing w:before="0" w:after="283"/>
              <w:jc w:val="center"/>
              <w:rPr>
                <w:sz w:val="18"/>
              </w:rPr>
            </w:pPr>
            <w:r>
              <w:rPr>
                <w:sz w:val="18"/>
              </w:rPr>
              <w:t>0.0309</w:t>
            </w:r>
          </w:p>
        </w:tc>
        <w:tc>
          <w:tcPr>
            <w:tcW w:w="620" w:type="dxa"/>
            <w:tcBorders/>
            <w:vAlign w:val="center"/>
          </w:tcPr>
          <w:p>
            <w:pPr>
              <w:pStyle w:val="TableContents"/>
              <w:bidi w:val="0"/>
              <w:spacing w:before="0" w:after="283"/>
              <w:jc w:val="center"/>
              <w:rPr>
                <w:sz w:val="18"/>
              </w:rPr>
            </w:pPr>
            <w:r>
              <w:rPr>
                <w:sz w:val="18"/>
              </w:rPr>
              <w:t>0.0000</w:t>
            </w:r>
          </w:p>
        </w:tc>
      </w:tr>
      <w:tr>
        <w:trPr/>
        <w:tc>
          <w:tcPr>
            <w:tcW w:w="3860" w:type="dxa"/>
            <w:tcBorders/>
            <w:vAlign w:val="center"/>
          </w:tcPr>
          <w:p>
            <w:pPr>
              <w:pStyle w:val="TableContents"/>
              <w:bidi w:val="0"/>
              <w:spacing w:before="0" w:after="283"/>
              <w:jc w:val="both"/>
              <w:rPr>
                <w:sz w:val="18"/>
              </w:rPr>
            </w:pPr>
            <w:r>
              <w:rPr>
                <w:sz w:val="18"/>
              </w:rPr>
              <w:t>September 1, 2026</w:t>
              <w:tab/>
            </w:r>
          </w:p>
        </w:tc>
        <w:tc>
          <w:tcPr>
            <w:tcW w:w="515" w:type="dxa"/>
            <w:tcBorders/>
            <w:vAlign w:val="center"/>
          </w:tcPr>
          <w:p>
            <w:pPr>
              <w:pStyle w:val="TableContents"/>
              <w:bidi w:val="0"/>
              <w:spacing w:before="0" w:after="283"/>
              <w:jc w:val="center"/>
              <w:rPr>
                <w:sz w:val="18"/>
              </w:rPr>
            </w:pPr>
            <w:r>
              <w:rPr>
                <w:sz w:val="18"/>
              </w:rPr>
              <w:t>4.0478</w:t>
            </w:r>
          </w:p>
        </w:tc>
        <w:tc>
          <w:tcPr>
            <w:tcW w:w="515" w:type="dxa"/>
            <w:tcBorders/>
            <w:vAlign w:val="center"/>
          </w:tcPr>
          <w:p>
            <w:pPr>
              <w:pStyle w:val="TableContents"/>
              <w:bidi w:val="0"/>
              <w:spacing w:before="0" w:after="283"/>
              <w:jc w:val="center"/>
              <w:rPr>
                <w:sz w:val="18"/>
              </w:rPr>
            </w:pPr>
            <w:r>
              <w:rPr>
                <w:sz w:val="18"/>
              </w:rPr>
              <w:t>2.8231</w:t>
            </w:r>
          </w:p>
        </w:tc>
        <w:tc>
          <w:tcPr>
            <w:tcW w:w="515" w:type="dxa"/>
            <w:tcBorders/>
            <w:vAlign w:val="center"/>
          </w:tcPr>
          <w:p>
            <w:pPr>
              <w:pStyle w:val="TableContents"/>
              <w:bidi w:val="0"/>
              <w:spacing w:before="0" w:after="283"/>
              <w:jc w:val="center"/>
              <w:rPr>
                <w:sz w:val="18"/>
              </w:rPr>
            </w:pPr>
            <w:r>
              <w:rPr>
                <w:sz w:val="18"/>
              </w:rPr>
              <w:t>2.0111</w:t>
            </w:r>
          </w:p>
        </w:tc>
        <w:tc>
          <w:tcPr>
            <w:tcW w:w="515" w:type="dxa"/>
            <w:tcBorders/>
            <w:vAlign w:val="center"/>
          </w:tcPr>
          <w:p>
            <w:pPr>
              <w:pStyle w:val="TableContents"/>
              <w:bidi w:val="0"/>
              <w:spacing w:before="0" w:after="283"/>
              <w:jc w:val="center"/>
              <w:rPr>
                <w:sz w:val="18"/>
              </w:rPr>
            </w:pPr>
            <w:r>
              <w:rPr>
                <w:sz w:val="18"/>
              </w:rPr>
              <w:t>1.3594</w:t>
            </w:r>
          </w:p>
        </w:tc>
        <w:tc>
          <w:tcPr>
            <w:tcW w:w="515" w:type="dxa"/>
            <w:tcBorders/>
            <w:vAlign w:val="center"/>
          </w:tcPr>
          <w:p>
            <w:pPr>
              <w:pStyle w:val="TableContents"/>
              <w:bidi w:val="0"/>
              <w:spacing w:before="0" w:after="283"/>
              <w:jc w:val="center"/>
              <w:rPr>
                <w:sz w:val="18"/>
              </w:rPr>
            </w:pPr>
            <w:r>
              <w:rPr>
                <w:sz w:val="18"/>
              </w:rPr>
              <w:t>0.9433</w:t>
            </w:r>
          </w:p>
        </w:tc>
        <w:tc>
          <w:tcPr>
            <w:tcW w:w="605" w:type="dxa"/>
            <w:tcBorders/>
            <w:vAlign w:val="center"/>
          </w:tcPr>
          <w:p>
            <w:pPr>
              <w:pStyle w:val="TableContents"/>
              <w:bidi w:val="0"/>
              <w:spacing w:before="0" w:after="283"/>
              <w:jc w:val="center"/>
              <w:rPr>
                <w:sz w:val="18"/>
              </w:rPr>
            </w:pPr>
            <w:r>
              <w:rPr>
                <w:sz w:val="18"/>
              </w:rPr>
              <w:t>0.4430</w:t>
            </w:r>
          </w:p>
        </w:tc>
        <w:tc>
          <w:tcPr>
            <w:tcW w:w="605" w:type="dxa"/>
            <w:tcBorders/>
            <w:vAlign w:val="center"/>
          </w:tcPr>
          <w:p>
            <w:pPr>
              <w:pStyle w:val="TableContents"/>
              <w:bidi w:val="0"/>
              <w:spacing w:before="0" w:after="283"/>
              <w:jc w:val="center"/>
              <w:rPr>
                <w:sz w:val="18"/>
              </w:rPr>
            </w:pPr>
            <w:r>
              <w:rPr>
                <w:sz w:val="18"/>
              </w:rPr>
              <w:t>0.2653</w:t>
            </w:r>
          </w:p>
        </w:tc>
        <w:tc>
          <w:tcPr>
            <w:tcW w:w="605" w:type="dxa"/>
            <w:tcBorders/>
            <w:vAlign w:val="center"/>
          </w:tcPr>
          <w:p>
            <w:pPr>
              <w:pStyle w:val="TableContents"/>
              <w:bidi w:val="0"/>
              <w:spacing w:before="0" w:after="283"/>
              <w:jc w:val="center"/>
              <w:rPr>
                <w:sz w:val="18"/>
              </w:rPr>
            </w:pPr>
            <w:r>
              <w:rPr>
                <w:sz w:val="18"/>
              </w:rPr>
              <w:t>0.1167</w:t>
            </w:r>
          </w:p>
        </w:tc>
        <w:tc>
          <w:tcPr>
            <w:tcW w:w="605" w:type="dxa"/>
            <w:tcBorders/>
            <w:vAlign w:val="center"/>
          </w:tcPr>
          <w:p>
            <w:pPr>
              <w:pStyle w:val="TableContents"/>
              <w:bidi w:val="0"/>
              <w:spacing w:before="0" w:after="283"/>
              <w:jc w:val="center"/>
              <w:rPr>
                <w:sz w:val="18"/>
              </w:rPr>
            </w:pPr>
            <w:r>
              <w:rPr>
                <w:sz w:val="18"/>
              </w:rPr>
              <w:t>0.0544</w:t>
            </w:r>
          </w:p>
        </w:tc>
        <w:tc>
          <w:tcPr>
            <w:tcW w:w="605" w:type="dxa"/>
            <w:tcBorders/>
            <w:vAlign w:val="center"/>
          </w:tcPr>
          <w:p>
            <w:pPr>
              <w:pStyle w:val="TableContents"/>
              <w:bidi w:val="0"/>
              <w:spacing w:before="0" w:after="283"/>
              <w:jc w:val="center"/>
              <w:rPr>
                <w:sz w:val="18"/>
              </w:rPr>
            </w:pPr>
            <w:r>
              <w:rPr>
                <w:sz w:val="18"/>
              </w:rPr>
              <w:t>0.0226</w:t>
            </w:r>
          </w:p>
        </w:tc>
        <w:tc>
          <w:tcPr>
            <w:tcW w:w="620" w:type="dxa"/>
            <w:tcBorders/>
            <w:vAlign w:val="center"/>
          </w:tcPr>
          <w:p>
            <w:pPr>
              <w:pStyle w:val="TableContents"/>
              <w:bidi w:val="0"/>
              <w:spacing w:before="0" w:after="283"/>
              <w:jc w:val="center"/>
              <w:rPr>
                <w:sz w:val="18"/>
              </w:rPr>
            </w:pPr>
            <w:r>
              <w:rPr>
                <w:sz w:val="18"/>
              </w:rPr>
              <w:t>0.0000</w:t>
            </w:r>
          </w:p>
        </w:tc>
      </w:tr>
      <w:tr>
        <w:trPr/>
        <w:tc>
          <w:tcPr>
            <w:tcW w:w="3860" w:type="dxa"/>
            <w:tcBorders/>
            <w:vAlign w:val="center"/>
          </w:tcPr>
          <w:p>
            <w:pPr>
              <w:pStyle w:val="TableContents"/>
              <w:bidi w:val="0"/>
              <w:spacing w:before="0" w:after="283"/>
              <w:jc w:val="both"/>
              <w:rPr>
                <w:sz w:val="18"/>
              </w:rPr>
            </w:pPr>
            <w:r>
              <w:rPr>
                <w:sz w:val="18"/>
              </w:rPr>
              <w:t>September 1, 2027</w:t>
              <w:tab/>
            </w:r>
          </w:p>
        </w:tc>
        <w:tc>
          <w:tcPr>
            <w:tcW w:w="515" w:type="dxa"/>
            <w:tcBorders/>
            <w:vAlign w:val="center"/>
          </w:tcPr>
          <w:p>
            <w:pPr>
              <w:pStyle w:val="TableContents"/>
              <w:bidi w:val="0"/>
              <w:spacing w:before="0" w:after="283"/>
              <w:jc w:val="center"/>
              <w:rPr>
                <w:sz w:val="18"/>
              </w:rPr>
            </w:pPr>
            <w:r>
              <w:rPr>
                <w:sz w:val="18"/>
              </w:rPr>
              <w:t>4.0478</w:t>
            </w:r>
          </w:p>
        </w:tc>
        <w:tc>
          <w:tcPr>
            <w:tcW w:w="515" w:type="dxa"/>
            <w:tcBorders/>
            <w:vAlign w:val="center"/>
          </w:tcPr>
          <w:p>
            <w:pPr>
              <w:pStyle w:val="TableContents"/>
              <w:bidi w:val="0"/>
              <w:spacing w:before="0" w:after="283"/>
              <w:jc w:val="center"/>
              <w:rPr>
                <w:sz w:val="18"/>
              </w:rPr>
            </w:pPr>
            <w:r>
              <w:rPr>
                <w:sz w:val="18"/>
              </w:rPr>
              <w:t>2.6069</w:t>
            </w:r>
          </w:p>
        </w:tc>
        <w:tc>
          <w:tcPr>
            <w:tcW w:w="515" w:type="dxa"/>
            <w:tcBorders/>
            <w:vAlign w:val="center"/>
          </w:tcPr>
          <w:p>
            <w:pPr>
              <w:pStyle w:val="TableContents"/>
              <w:bidi w:val="0"/>
              <w:spacing w:before="0" w:after="283"/>
              <w:jc w:val="center"/>
              <w:rPr>
                <w:sz w:val="18"/>
              </w:rPr>
            </w:pPr>
            <w:r>
              <w:rPr>
                <w:sz w:val="18"/>
              </w:rPr>
              <w:t>1.7431</w:t>
            </w:r>
          </w:p>
        </w:tc>
        <w:tc>
          <w:tcPr>
            <w:tcW w:w="515" w:type="dxa"/>
            <w:tcBorders/>
            <w:vAlign w:val="center"/>
          </w:tcPr>
          <w:p>
            <w:pPr>
              <w:pStyle w:val="TableContents"/>
              <w:bidi w:val="0"/>
              <w:spacing w:before="0" w:after="283"/>
              <w:jc w:val="center"/>
              <w:rPr>
                <w:sz w:val="18"/>
              </w:rPr>
            </w:pPr>
            <w:r>
              <w:rPr>
                <w:sz w:val="18"/>
              </w:rPr>
              <w:t>1.0878</w:t>
            </w:r>
          </w:p>
        </w:tc>
        <w:tc>
          <w:tcPr>
            <w:tcW w:w="515" w:type="dxa"/>
            <w:tcBorders/>
            <w:vAlign w:val="center"/>
          </w:tcPr>
          <w:p>
            <w:pPr>
              <w:pStyle w:val="TableContents"/>
              <w:bidi w:val="0"/>
              <w:spacing w:before="0" w:after="283"/>
              <w:jc w:val="center"/>
              <w:rPr>
                <w:sz w:val="18"/>
              </w:rPr>
            </w:pPr>
            <w:r>
              <w:rPr>
                <w:sz w:val="18"/>
              </w:rPr>
              <w:t>0.7013</w:t>
            </w:r>
          </w:p>
        </w:tc>
        <w:tc>
          <w:tcPr>
            <w:tcW w:w="605" w:type="dxa"/>
            <w:tcBorders/>
            <w:vAlign w:val="center"/>
          </w:tcPr>
          <w:p>
            <w:pPr>
              <w:pStyle w:val="TableContents"/>
              <w:bidi w:val="0"/>
              <w:spacing w:before="0" w:after="283"/>
              <w:jc w:val="center"/>
              <w:rPr>
                <w:sz w:val="18"/>
              </w:rPr>
            </w:pPr>
            <w:r>
              <w:rPr>
                <w:sz w:val="18"/>
              </w:rPr>
              <w:t>0.2947</w:t>
            </w:r>
          </w:p>
        </w:tc>
        <w:tc>
          <w:tcPr>
            <w:tcW w:w="605" w:type="dxa"/>
            <w:tcBorders/>
            <w:vAlign w:val="center"/>
          </w:tcPr>
          <w:p>
            <w:pPr>
              <w:pStyle w:val="TableContents"/>
              <w:bidi w:val="0"/>
              <w:spacing w:before="0" w:after="283"/>
              <w:jc w:val="center"/>
              <w:rPr>
                <w:sz w:val="18"/>
              </w:rPr>
            </w:pPr>
            <w:r>
              <w:rPr>
                <w:sz w:val="18"/>
              </w:rPr>
              <w:t>0.1725</w:t>
            </w:r>
          </w:p>
        </w:tc>
        <w:tc>
          <w:tcPr>
            <w:tcW w:w="605" w:type="dxa"/>
            <w:tcBorders/>
            <w:vAlign w:val="center"/>
          </w:tcPr>
          <w:p>
            <w:pPr>
              <w:pStyle w:val="TableContents"/>
              <w:bidi w:val="0"/>
              <w:spacing w:before="0" w:after="283"/>
              <w:jc w:val="center"/>
              <w:rPr>
                <w:sz w:val="18"/>
              </w:rPr>
            </w:pPr>
            <w:r>
              <w:rPr>
                <w:sz w:val="18"/>
              </w:rPr>
              <w:t>0.0773</w:t>
            </w:r>
          </w:p>
        </w:tc>
        <w:tc>
          <w:tcPr>
            <w:tcW w:w="605" w:type="dxa"/>
            <w:tcBorders/>
            <w:vAlign w:val="center"/>
          </w:tcPr>
          <w:p>
            <w:pPr>
              <w:pStyle w:val="TableContents"/>
              <w:bidi w:val="0"/>
              <w:spacing w:before="0" w:after="283"/>
              <w:jc w:val="center"/>
              <w:rPr>
                <w:sz w:val="18"/>
              </w:rPr>
            </w:pPr>
            <w:r>
              <w:rPr>
                <w:sz w:val="18"/>
              </w:rPr>
              <w:t>0.0362</w:t>
            </w:r>
          </w:p>
        </w:tc>
        <w:tc>
          <w:tcPr>
            <w:tcW w:w="605" w:type="dxa"/>
            <w:tcBorders/>
            <w:vAlign w:val="center"/>
          </w:tcPr>
          <w:p>
            <w:pPr>
              <w:pStyle w:val="TableContents"/>
              <w:bidi w:val="0"/>
              <w:spacing w:before="0" w:after="283"/>
              <w:jc w:val="center"/>
              <w:rPr>
                <w:sz w:val="18"/>
              </w:rPr>
            </w:pPr>
            <w:r>
              <w:rPr>
                <w:sz w:val="18"/>
              </w:rPr>
              <w:t>0.0143</w:t>
            </w:r>
          </w:p>
        </w:tc>
        <w:tc>
          <w:tcPr>
            <w:tcW w:w="620" w:type="dxa"/>
            <w:tcBorders/>
            <w:vAlign w:val="center"/>
          </w:tcPr>
          <w:p>
            <w:pPr>
              <w:pStyle w:val="TableContents"/>
              <w:bidi w:val="0"/>
              <w:spacing w:before="0" w:after="283"/>
              <w:jc w:val="center"/>
              <w:rPr>
                <w:sz w:val="18"/>
              </w:rPr>
            </w:pPr>
            <w:r>
              <w:rPr>
                <w:sz w:val="18"/>
              </w:rPr>
              <w:t>0.0000</w:t>
            </w:r>
          </w:p>
        </w:tc>
      </w:tr>
      <w:tr>
        <w:trPr/>
        <w:tc>
          <w:tcPr>
            <w:tcW w:w="3860" w:type="dxa"/>
            <w:tcBorders/>
            <w:vAlign w:val="center"/>
          </w:tcPr>
          <w:p>
            <w:pPr>
              <w:pStyle w:val="TableContents"/>
              <w:bidi w:val="0"/>
              <w:spacing w:before="0" w:after="283"/>
              <w:jc w:val="both"/>
              <w:rPr>
                <w:sz w:val="18"/>
              </w:rPr>
            </w:pPr>
            <w:r>
              <w:rPr>
                <w:sz w:val="18"/>
              </w:rPr>
              <w:t>September 1, 2028</w:t>
              <w:tab/>
            </w:r>
          </w:p>
        </w:tc>
        <w:tc>
          <w:tcPr>
            <w:tcW w:w="515" w:type="dxa"/>
            <w:tcBorders/>
            <w:vAlign w:val="center"/>
          </w:tcPr>
          <w:p>
            <w:pPr>
              <w:pStyle w:val="TableContents"/>
              <w:bidi w:val="0"/>
              <w:spacing w:before="0" w:after="283"/>
              <w:jc w:val="center"/>
              <w:rPr>
                <w:sz w:val="18"/>
              </w:rPr>
            </w:pPr>
            <w:r>
              <w:rPr>
                <w:sz w:val="18"/>
              </w:rPr>
              <w:t>4.0478</w:t>
            </w:r>
          </w:p>
        </w:tc>
        <w:tc>
          <w:tcPr>
            <w:tcW w:w="515" w:type="dxa"/>
            <w:tcBorders/>
            <w:vAlign w:val="center"/>
          </w:tcPr>
          <w:p>
            <w:pPr>
              <w:pStyle w:val="TableContents"/>
              <w:bidi w:val="0"/>
              <w:spacing w:before="0" w:after="283"/>
              <w:jc w:val="center"/>
              <w:rPr>
                <w:sz w:val="18"/>
              </w:rPr>
            </w:pPr>
            <w:r>
              <w:rPr>
                <w:sz w:val="18"/>
              </w:rPr>
              <w:t>2.2785</w:t>
            </w:r>
          </w:p>
        </w:tc>
        <w:tc>
          <w:tcPr>
            <w:tcW w:w="515" w:type="dxa"/>
            <w:tcBorders/>
            <w:vAlign w:val="center"/>
          </w:tcPr>
          <w:p>
            <w:pPr>
              <w:pStyle w:val="TableContents"/>
              <w:bidi w:val="0"/>
              <w:spacing w:before="0" w:after="283"/>
              <w:jc w:val="center"/>
              <w:rPr>
                <w:sz w:val="18"/>
              </w:rPr>
            </w:pPr>
            <w:r>
              <w:rPr>
                <w:sz w:val="18"/>
              </w:rPr>
              <w:t>1.3214</w:t>
            </w:r>
          </w:p>
        </w:tc>
        <w:tc>
          <w:tcPr>
            <w:tcW w:w="515" w:type="dxa"/>
            <w:tcBorders/>
            <w:vAlign w:val="center"/>
          </w:tcPr>
          <w:p>
            <w:pPr>
              <w:pStyle w:val="TableContents"/>
              <w:bidi w:val="0"/>
              <w:spacing w:before="0" w:after="283"/>
              <w:jc w:val="center"/>
              <w:rPr>
                <w:sz w:val="18"/>
              </w:rPr>
            </w:pPr>
            <w:r>
              <w:rPr>
                <w:sz w:val="18"/>
              </w:rPr>
              <w:t>0.6816</w:t>
            </w:r>
          </w:p>
        </w:tc>
        <w:tc>
          <w:tcPr>
            <w:tcW w:w="515" w:type="dxa"/>
            <w:tcBorders/>
            <w:vAlign w:val="center"/>
          </w:tcPr>
          <w:p>
            <w:pPr>
              <w:pStyle w:val="TableContents"/>
              <w:bidi w:val="0"/>
              <w:spacing w:before="0" w:after="283"/>
              <w:jc w:val="center"/>
              <w:rPr>
                <w:sz w:val="18"/>
              </w:rPr>
            </w:pPr>
            <w:r>
              <w:rPr>
                <w:sz w:val="18"/>
              </w:rPr>
              <w:t>0.3722</w:t>
            </w:r>
          </w:p>
        </w:tc>
        <w:tc>
          <w:tcPr>
            <w:tcW w:w="605" w:type="dxa"/>
            <w:tcBorders/>
            <w:vAlign w:val="center"/>
          </w:tcPr>
          <w:p>
            <w:pPr>
              <w:pStyle w:val="TableContents"/>
              <w:bidi w:val="0"/>
              <w:spacing w:before="0" w:after="283"/>
              <w:jc w:val="center"/>
              <w:rPr>
                <w:sz w:val="18"/>
              </w:rPr>
            </w:pPr>
            <w:r>
              <w:rPr>
                <w:sz w:val="18"/>
              </w:rPr>
              <w:t>0.1335</w:t>
            </w:r>
          </w:p>
        </w:tc>
        <w:tc>
          <w:tcPr>
            <w:tcW w:w="605" w:type="dxa"/>
            <w:tcBorders/>
            <w:vAlign w:val="center"/>
          </w:tcPr>
          <w:p>
            <w:pPr>
              <w:pStyle w:val="TableContents"/>
              <w:bidi w:val="0"/>
              <w:spacing w:before="0" w:after="283"/>
              <w:jc w:val="center"/>
              <w:rPr>
                <w:sz w:val="18"/>
              </w:rPr>
            </w:pPr>
            <w:r>
              <w:rPr>
                <w:sz w:val="18"/>
              </w:rPr>
              <w:t>0.0810</w:t>
            </w:r>
          </w:p>
        </w:tc>
        <w:tc>
          <w:tcPr>
            <w:tcW w:w="605" w:type="dxa"/>
            <w:tcBorders/>
            <w:vAlign w:val="center"/>
          </w:tcPr>
          <w:p>
            <w:pPr>
              <w:pStyle w:val="TableContents"/>
              <w:bidi w:val="0"/>
              <w:spacing w:before="0" w:after="283"/>
              <w:jc w:val="center"/>
              <w:rPr>
                <w:sz w:val="18"/>
              </w:rPr>
            </w:pPr>
            <w:r>
              <w:rPr>
                <w:sz w:val="18"/>
              </w:rPr>
              <w:t>0.0395</w:t>
            </w:r>
          </w:p>
        </w:tc>
        <w:tc>
          <w:tcPr>
            <w:tcW w:w="605" w:type="dxa"/>
            <w:tcBorders/>
            <w:vAlign w:val="center"/>
          </w:tcPr>
          <w:p>
            <w:pPr>
              <w:pStyle w:val="TableContents"/>
              <w:bidi w:val="0"/>
              <w:spacing w:before="0" w:after="283"/>
              <w:jc w:val="center"/>
              <w:rPr>
                <w:sz w:val="18"/>
              </w:rPr>
            </w:pPr>
            <w:r>
              <w:rPr>
                <w:sz w:val="18"/>
              </w:rPr>
              <w:t>0.0187</w:t>
            </w:r>
          </w:p>
        </w:tc>
        <w:tc>
          <w:tcPr>
            <w:tcW w:w="605" w:type="dxa"/>
            <w:tcBorders/>
            <w:vAlign w:val="center"/>
          </w:tcPr>
          <w:p>
            <w:pPr>
              <w:pStyle w:val="TableContents"/>
              <w:bidi w:val="0"/>
              <w:spacing w:before="0" w:after="283"/>
              <w:jc w:val="center"/>
              <w:rPr>
                <w:sz w:val="18"/>
              </w:rPr>
            </w:pPr>
            <w:r>
              <w:rPr>
                <w:sz w:val="18"/>
              </w:rPr>
              <w:t>0.0068</w:t>
            </w:r>
          </w:p>
        </w:tc>
        <w:tc>
          <w:tcPr>
            <w:tcW w:w="620" w:type="dxa"/>
            <w:tcBorders/>
            <w:vAlign w:val="center"/>
          </w:tcPr>
          <w:p>
            <w:pPr>
              <w:pStyle w:val="TableContents"/>
              <w:bidi w:val="0"/>
              <w:spacing w:before="0" w:after="283"/>
              <w:jc w:val="center"/>
              <w:rPr>
                <w:sz w:val="18"/>
              </w:rPr>
            </w:pPr>
            <w:r>
              <w:rPr>
                <w:sz w:val="18"/>
              </w:rPr>
              <w:t>0.0000</w:t>
            </w:r>
          </w:p>
        </w:tc>
      </w:tr>
      <w:tr>
        <w:trPr/>
        <w:tc>
          <w:tcPr>
            <w:tcW w:w="3860" w:type="dxa"/>
            <w:tcBorders/>
            <w:vAlign w:val="center"/>
          </w:tcPr>
          <w:p>
            <w:pPr>
              <w:pStyle w:val="TableContents"/>
              <w:bidi w:val="0"/>
              <w:spacing w:before="0" w:after="283"/>
              <w:jc w:val="both"/>
              <w:rPr>
                <w:sz w:val="18"/>
              </w:rPr>
            </w:pPr>
            <w:r>
              <w:rPr>
                <w:sz w:val="18"/>
              </w:rPr>
              <w:t>September 1, 2029</w:t>
              <w:tab/>
            </w:r>
          </w:p>
        </w:tc>
        <w:tc>
          <w:tcPr>
            <w:tcW w:w="515" w:type="dxa"/>
            <w:tcBorders/>
            <w:vAlign w:val="center"/>
          </w:tcPr>
          <w:p>
            <w:pPr>
              <w:pStyle w:val="TableContents"/>
              <w:bidi w:val="0"/>
              <w:spacing w:before="0" w:after="283"/>
              <w:jc w:val="center"/>
              <w:rPr>
                <w:sz w:val="18"/>
              </w:rPr>
            </w:pPr>
            <w:r>
              <w:rPr>
                <w:sz w:val="18"/>
              </w:rPr>
              <w:t>4.0478</w:t>
            </w:r>
          </w:p>
        </w:tc>
        <w:tc>
          <w:tcPr>
            <w:tcW w:w="515" w:type="dxa"/>
            <w:tcBorders/>
            <w:vAlign w:val="center"/>
          </w:tcPr>
          <w:p>
            <w:pPr>
              <w:pStyle w:val="TableContents"/>
              <w:bidi w:val="0"/>
              <w:spacing w:before="0" w:after="283"/>
              <w:jc w:val="center"/>
              <w:rPr>
                <w:sz w:val="18"/>
              </w:rPr>
            </w:pPr>
            <w:r>
              <w:rPr>
                <w:sz w:val="18"/>
              </w:rPr>
              <w:t>1.7742</w:t>
            </w:r>
          </w:p>
        </w:tc>
        <w:tc>
          <w:tcPr>
            <w:tcW w:w="515" w:type="dxa"/>
            <w:tcBorders/>
            <w:vAlign w:val="center"/>
          </w:tcPr>
          <w:p>
            <w:pPr>
              <w:pStyle w:val="TableContents"/>
              <w:bidi w:val="0"/>
              <w:spacing w:before="0" w:after="283"/>
              <w:jc w:val="center"/>
              <w:rPr>
                <w:sz w:val="18"/>
              </w:rPr>
            </w:pPr>
            <w:r>
              <w:rPr>
                <w:sz w:val="18"/>
              </w:rPr>
              <w:t>0.0005</w:t>
            </w:r>
          </w:p>
        </w:tc>
        <w:tc>
          <w:tcPr>
            <w:tcW w:w="515" w:type="dxa"/>
            <w:tcBorders/>
            <w:vAlign w:val="center"/>
          </w:tcPr>
          <w:p>
            <w:pPr>
              <w:pStyle w:val="TableContents"/>
              <w:bidi w:val="0"/>
              <w:spacing w:before="0" w:after="283"/>
              <w:jc w:val="center"/>
              <w:rPr>
                <w:sz w:val="18"/>
              </w:rPr>
            </w:pPr>
            <w:r>
              <w:rPr>
                <w:sz w:val="18"/>
              </w:rPr>
              <w:t>0.0000</w:t>
            </w:r>
          </w:p>
        </w:tc>
        <w:tc>
          <w:tcPr>
            <w:tcW w:w="515" w:type="dxa"/>
            <w:tcBorders/>
            <w:vAlign w:val="center"/>
          </w:tcPr>
          <w:p>
            <w:pPr>
              <w:pStyle w:val="TableContents"/>
              <w:bidi w:val="0"/>
              <w:spacing w:before="0" w:after="283"/>
              <w:jc w:val="center"/>
              <w:rPr>
                <w:sz w:val="18"/>
              </w:rPr>
            </w:pPr>
            <w:r>
              <w:rPr>
                <w:sz w:val="18"/>
              </w:rPr>
              <w:t>0.0000</w:t>
            </w:r>
          </w:p>
        </w:tc>
        <w:tc>
          <w:tcPr>
            <w:tcW w:w="605" w:type="dxa"/>
            <w:tcBorders/>
            <w:vAlign w:val="center"/>
          </w:tcPr>
          <w:p>
            <w:pPr>
              <w:pStyle w:val="TableContents"/>
              <w:bidi w:val="0"/>
              <w:spacing w:before="0" w:after="283"/>
              <w:jc w:val="center"/>
              <w:rPr>
                <w:sz w:val="18"/>
              </w:rPr>
            </w:pPr>
            <w:r>
              <w:rPr>
                <w:sz w:val="18"/>
              </w:rPr>
              <w:t>0.0000</w:t>
            </w:r>
          </w:p>
        </w:tc>
        <w:tc>
          <w:tcPr>
            <w:tcW w:w="605" w:type="dxa"/>
            <w:tcBorders/>
            <w:vAlign w:val="center"/>
          </w:tcPr>
          <w:p>
            <w:pPr>
              <w:pStyle w:val="TableContents"/>
              <w:bidi w:val="0"/>
              <w:spacing w:before="0" w:after="283"/>
              <w:jc w:val="center"/>
              <w:rPr>
                <w:sz w:val="18"/>
              </w:rPr>
            </w:pPr>
            <w:r>
              <w:rPr>
                <w:sz w:val="18"/>
              </w:rPr>
              <w:t>0.0000</w:t>
            </w:r>
          </w:p>
        </w:tc>
        <w:tc>
          <w:tcPr>
            <w:tcW w:w="605" w:type="dxa"/>
            <w:tcBorders/>
            <w:vAlign w:val="center"/>
          </w:tcPr>
          <w:p>
            <w:pPr>
              <w:pStyle w:val="TableContents"/>
              <w:bidi w:val="0"/>
              <w:spacing w:before="0" w:after="283"/>
              <w:jc w:val="center"/>
              <w:rPr>
                <w:sz w:val="18"/>
              </w:rPr>
            </w:pPr>
            <w:r>
              <w:rPr>
                <w:sz w:val="18"/>
              </w:rPr>
              <w:t>0.0000</w:t>
            </w:r>
          </w:p>
        </w:tc>
        <w:tc>
          <w:tcPr>
            <w:tcW w:w="605" w:type="dxa"/>
            <w:tcBorders/>
            <w:vAlign w:val="center"/>
          </w:tcPr>
          <w:p>
            <w:pPr>
              <w:pStyle w:val="TableContents"/>
              <w:bidi w:val="0"/>
              <w:spacing w:before="0" w:after="283"/>
              <w:jc w:val="center"/>
              <w:rPr>
                <w:sz w:val="18"/>
              </w:rPr>
            </w:pPr>
            <w:r>
              <w:rPr>
                <w:sz w:val="18"/>
              </w:rPr>
              <w:t>0.0000</w:t>
            </w:r>
          </w:p>
        </w:tc>
        <w:tc>
          <w:tcPr>
            <w:tcW w:w="605" w:type="dxa"/>
            <w:tcBorders/>
            <w:vAlign w:val="center"/>
          </w:tcPr>
          <w:p>
            <w:pPr>
              <w:pStyle w:val="TableContents"/>
              <w:bidi w:val="0"/>
              <w:spacing w:before="0" w:after="283"/>
              <w:jc w:val="center"/>
              <w:rPr>
                <w:sz w:val="18"/>
              </w:rPr>
            </w:pPr>
            <w:r>
              <w:rPr>
                <w:sz w:val="18"/>
              </w:rPr>
              <w:t>0.0000</w:t>
            </w:r>
          </w:p>
        </w:tc>
        <w:tc>
          <w:tcPr>
            <w:tcW w:w="620" w:type="dxa"/>
            <w:tcBorders/>
            <w:vAlign w:val="center"/>
          </w:tcPr>
          <w:p>
            <w:pPr>
              <w:pStyle w:val="TableContents"/>
              <w:bidi w:val="0"/>
              <w:spacing w:before="0" w:after="283"/>
              <w:jc w:val="center"/>
              <w:rPr>
                <w:sz w:val="18"/>
              </w:rPr>
            </w:pPr>
            <w:r>
              <w:rPr>
                <w:sz w:val="18"/>
              </w:rPr>
              <w:t>0.0000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Make-Whole Fundamental Change Effective Date or Stock Price is not set forth in the table above, then: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Stock Price is greater than $400.00 (subject to adjustment in the same manner as the Stock Prices set forth in the column headings of the table above are adjusted pursuant to ‎</w:t>
      </w:r>
      <w:r>
        <w:rPr>
          <w:rFonts w:ascii="Times New Roman;Times;Serif" w:hAnsi="Times New Roman;Times;Serif"/>
          <w:b/>
          <w:i w:val="false"/>
          <w:caps w:val="false"/>
          <w:smallCaps w:val="false"/>
          <w:sz w:val="20"/>
        </w:rPr>
        <w:t>Section 5.07(B</w:t>
      </w:r>
      <w:r>
        <w:rPr>
          <w:rFonts w:ascii="Times New Roman;Times;Serif" w:hAnsi="Times New Roman;Times;Serif"/>
          <w:b w:val="false"/>
          <w:i w:val="false"/>
          <w:caps w:val="false"/>
          <w:smallCaps w:val="false"/>
          <w:sz w:val="20"/>
        </w:rPr>
        <w:t>)), or less than $57.01 (subject to adjustment in the same manner), per share, then no Additional Shares will be added to the Conversion Rate.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Indenture or the Notes, in no event will the Conversion Rate be increased to an amount that exceeds 17.5407 shares of Common Stock per $1,000 principal amount of Notes, which amount is subject to adjustment in the same manner as, and at the same time and for the same events for which, the Conversion Rate is required to be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but subject to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(x) the sending of a Redemption Notice will constitute a Make-Whole Fundamental Change only with respect to the Notes called for Redemption pursuant to such Redemption Notice, and not with respect to any other Notes; and (y) the Conversion Rate applicable to the Notes not so called for Redemption will not be subject to increase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5.07 on account of such Redemption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Adjustment of Stock Prices and Number of Additional Shares</w:t>
      </w:r>
      <w:r>
        <w:rPr>
          <w:rFonts w:ascii="Times New Roman;Times;Serif" w:hAnsi="Times New Roman;Times;Serif"/>
          <w:b w:val="false"/>
          <w:i w:val="false"/>
          <w:caps w:val="false"/>
          <w:smallCaps w:val="false"/>
          <w:sz w:val="20"/>
        </w:rPr>
        <w:t>. The Stock Prices in the first row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column headers) of the table set forth in ‎</w:t>
      </w:r>
      <w:r>
        <w:rPr>
          <w:rFonts w:ascii="Times New Roman;Times;Serif" w:hAnsi="Times New Roman;Times;Serif"/>
          <w:b/>
          <w:i w:val="false"/>
          <w:caps w:val="false"/>
          <w:smallCaps w:val="false"/>
          <w:sz w:val="20"/>
        </w:rPr>
        <w:t>Section 5.07(A</w:t>
      </w:r>
      <w:r>
        <w:rPr>
          <w:rFonts w:ascii="Times New Roman;Times;Serif" w:hAnsi="Times New Roman;Times;Serif"/>
          <w:b w:val="false"/>
          <w:i w:val="false"/>
          <w:caps w:val="false"/>
          <w:smallCaps w:val="false"/>
          <w:sz w:val="20"/>
        </w:rPr>
        <w:t>) will be adjusted in the same manner as, and at the same time and for the same events for which, the Conversion Price is adjusted as a result of the operation of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numbers of Additional Shares in the table set forth in ‎</w:t>
      </w:r>
      <w:r>
        <w:rPr>
          <w:rFonts w:ascii="Times New Roman;Times;Serif" w:hAnsi="Times New Roman;Times;Serif"/>
          <w:b/>
          <w:i w:val="false"/>
          <w:caps w:val="false"/>
          <w:smallCaps w:val="false"/>
          <w:sz w:val="20"/>
        </w:rPr>
        <w:t>Section 5.07(A</w:t>
      </w:r>
      <w:r>
        <w:rPr>
          <w:rFonts w:ascii="Times New Roman;Times;Serif" w:hAnsi="Times New Roman;Times;Serif"/>
          <w:b w:val="false"/>
          <w:i w:val="false"/>
          <w:caps w:val="false"/>
          <w:smallCaps w:val="false"/>
          <w:sz w:val="20"/>
        </w:rPr>
        <w:t>) will be adjusted in the same manner as, and at the same time and for the same events for which, the Conversion Rate is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Notice of the Occurrence of a Make-Whole Fundamental Change</w:t>
      </w:r>
      <w:r>
        <w:rPr>
          <w:rFonts w:ascii="Times New Roman;Times;Serif" w:hAnsi="Times New Roman;Times;Serif"/>
          <w:b w:val="false"/>
          <w:i w:val="false"/>
          <w:caps w:val="false"/>
          <w:smallCaps w:val="false"/>
          <w:sz w:val="20"/>
        </w:rPr>
        <w:t xml:space="preserve">. The Company will notify the Holders, the Trustee and the Conversion Agent of each Make-Whole Fundamental Change (i) occurring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thereof in accordance with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and (ii) occurring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 in accordance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5.08.   Exchange in Lieu of Conversion.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and subject to the terms of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5.08,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Note will not cease to be outstanding by reason of such exchange in lieu of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financial institution does not accept such Note or fails to timely deliver such Conversion Consideration, then the Company will be responsible for delivering such Conversion Consideration in the manner and at the time provided in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as if the Company had not elected to make an exchange in lieu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5.09.   Effect of Common Stock Change Event.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If there occurs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consolidation, merger, combination or binding or statutory share exchange involving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sale, lease or other transfer of all or substantially all of the assets of the Company and its Subsidiaries, taken as a whole, to any Person;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similar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as a result of which, the Common Stock is converted into, or is exchanged for, or represents solely the right to receive, other securities, cash or other property, or any combination of the foregoing (such an event, a “</w:t>
      </w:r>
      <w:r>
        <w:rPr>
          <w:rFonts w:ascii="Times New Roman;Times;Serif" w:hAnsi="Times New Roman;Times;Serif"/>
          <w:b/>
          <w:i w:val="false"/>
          <w:caps w:val="false"/>
          <w:smallCaps w:val="false"/>
          <w:sz w:val="20"/>
        </w:rPr>
        <w:t>Common Stock Change Event</w:t>
      </w:r>
      <w:r>
        <w:rPr>
          <w:rFonts w:ascii="Times New Roman;Times;Serif" w:hAnsi="Times New Roman;Times;Serif"/>
          <w:b w:val="false"/>
          <w:i w:val="false"/>
          <w:caps w:val="false"/>
          <w:smallCaps w:val="false"/>
          <w:sz w:val="20"/>
        </w:rPr>
        <w:t>,” and such other securities, cash or property,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Times;Serif" w:hAnsi="Times New Roman;Times;Serif"/>
          <w:b/>
          <w:i w:val="false"/>
          <w:caps w:val="false"/>
          <w:smallCaps w:val="false"/>
          <w:sz w:val="20"/>
        </w:rPr>
        <w:t>Reference Property Unit</w:t>
      </w:r>
      <w:r>
        <w:rPr>
          <w:rFonts w:ascii="Times New Roman;Times;Serif" w:hAnsi="Times New Roman;Times;Serif"/>
          <w:b w:val="false"/>
          <w:i w:val="false"/>
          <w:caps w:val="false"/>
          <w:smallCaps w:val="false"/>
          <w:sz w:val="20"/>
        </w:rPr>
        <w:t>”), then, notwithstanding anything to the contrary in this Indenture or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(or in any related definitions) were instead a reference to the same number of Reference Property Units; (II) for purposes of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4.03,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references to “Common Stock” and the Company’s “Common Equity” will be deemed to refer to the Common Equity (including depositary receipts representing Common Equity), if any, forming part of such Reference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5.07, if applicable); and (y) the amount of cash constituting such Reference Property Unit; and (II) the Company will settle each such Conversion no later than the fifth (5th) Business Day after the relevant Conversion Date;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Property consists of more than a single type of consideration to be determined based in part upon any form of stockholder election, then the composition of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Property Unit will be deemed to be the weighted average of the types and amounts of consideration actually received, per share of Common Stock, by the holders of Common Stock. The Company will notify Holders, the Trustee and the Conversion Agent of such weighted average as soon as practicable after such determination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before the effective time of such Common Stock Change Event, the Company and the resulting, surviving or transferee Person (if not the Company) of such Common Stock Change Event (the “</w:t>
      </w:r>
      <w:r>
        <w:rPr>
          <w:rFonts w:ascii="Times New Roman;Times;Serif" w:hAnsi="Times New Roman;Times;Serif"/>
          <w:b/>
          <w:i w:val="false"/>
          <w:caps w:val="false"/>
          <w:smallCaps w:val="false"/>
          <w:sz w:val="20"/>
        </w:rPr>
        <w:t>Successor Person</w:t>
      </w:r>
      <w:r>
        <w:rPr>
          <w:rFonts w:ascii="Times New Roman;Times;Serif" w:hAnsi="Times New Roman;Times;Serif"/>
          <w:b w:val="false"/>
          <w:i w:val="false"/>
          <w:caps w:val="false"/>
          <w:smallCaps w:val="false"/>
          <w:sz w:val="20"/>
        </w:rPr>
        <w:t>”) will execute and deliver to the Trustee a supplemental indenture pursuant to ‎</w:t>
      </w:r>
      <w:r>
        <w:rPr>
          <w:rFonts w:ascii="Times New Roman;Times;Serif" w:hAnsi="Times New Roman;Times;Serif"/>
          <w:b/>
          <w:i w:val="false"/>
          <w:caps w:val="false"/>
          <w:smallCaps w:val="false"/>
          <w:sz w:val="20"/>
        </w:rPr>
        <w:t>Section 8.01(F</w:t>
      </w:r>
      <w:r>
        <w:rPr>
          <w:rFonts w:ascii="Times New Roman;Times;Serif" w:hAnsi="Times New Roman;Times;Serif"/>
          <w:b w:val="false"/>
          <w:i w:val="false"/>
          <w:caps w:val="false"/>
          <w:smallCaps w:val="false"/>
          <w:sz w:val="20"/>
        </w:rPr>
        <w:t>), which supplemental indenture will (x) provide for subsequent Conversions of Notes in the manner set forth in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5.09; (y) provide for subsequent adjustments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in a manner consistent with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5.09; and (z) contain such other provisions, if any, that the Company reasonably determines are appropriate to preserve the economic interests of the Holders and to give effect to the provisions of this ‎</w:t>
      </w:r>
      <w:r>
        <w:rPr>
          <w:rFonts w:ascii="Times New Roman;Times;Serif" w:hAnsi="Times New Roman;Times;Serif"/>
          <w:b/>
          <w:i w:val="false"/>
          <w:caps w:val="false"/>
          <w:smallCaps w:val="false"/>
          <w:sz w:val="20"/>
        </w:rPr>
        <w:t>Section 5.09(A</w:t>
      </w:r>
      <w:r>
        <w:rPr>
          <w:rFonts w:ascii="Times New Roman;Times;Serif" w:hAnsi="Times New Roman;Times;Serif"/>
          <w:b w:val="false"/>
          <w:i w:val="false"/>
          <w:caps w:val="false"/>
          <w:smallCaps w:val="false"/>
          <w:sz w:val="20"/>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Notice of Common Stock Change Events</w:t>
      </w:r>
      <w:r>
        <w:rPr>
          <w:rFonts w:ascii="Times New Roman;Times;Serif" w:hAnsi="Times New Roman;Times;Serif"/>
          <w:b w:val="false"/>
          <w:i w:val="false"/>
          <w:caps w:val="false"/>
          <w:smallCaps w:val="false"/>
          <w:sz w:val="20"/>
        </w:rPr>
        <w:t>. The Company will provide notice of each Common Stock Change Event to Holders, the Trustee and the Conversion Agent no later than the Business Day after the effective date of such Common Stock Change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Compliance Covenant</w:t>
      </w:r>
      <w:r>
        <w:rPr>
          <w:rFonts w:ascii="Times New Roman;Times;Serif" w:hAnsi="Times New Roman;Times;Serif"/>
          <w:b w:val="false"/>
          <w:i w:val="false"/>
          <w:caps w:val="false"/>
          <w:smallCaps w:val="false"/>
          <w:sz w:val="20"/>
        </w:rPr>
        <w:t>. The Company will not become a party to any Common Stock Change Event unless its terms are consistent with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   Successors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6.01.   When the Company May Merge, Etc.</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(a “</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resulting, surviving or transferee Person either (x) is the Company or (y) if not the Company, is a Qualified Successor Entity (such Qualified Successor Entity, the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Times;Serif" w:hAnsi="Times New Roman;Times;Serif"/>
          <w:b/>
          <w:i w:val="false"/>
          <w:caps w:val="false"/>
          <w:smallCaps w:val="false"/>
          <w:sz w:val="20"/>
        </w:rPr>
        <w:t>Section 8.01(E</w:t>
      </w:r>
      <w:r>
        <w:rPr>
          <w:rFonts w:ascii="Times New Roman;Times;Serif" w:hAnsi="Times New Roman;Times;Serif"/>
          <w:b w:val="false"/>
          <w:i w:val="false"/>
          <w:caps w:val="false"/>
          <w:smallCaps w:val="false"/>
          <w:sz w:val="20"/>
        </w:rPr>
        <w:t>)) all of the Company’s obligations under this Indenture and the Notes;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Business Combination Event, no Default or Event of Default will have occurred and be continuing.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Delivery of Officer’s Certificate and Opinion of Counsel to the Trustee</w:t>
      </w:r>
      <w:r>
        <w:rPr>
          <w:rFonts w:ascii="Times New Roman;Times;Serif" w:hAnsi="Times New Roman;Times;Serif"/>
          <w:b w:val="false"/>
          <w:i w:val="false"/>
          <w:caps w:val="false"/>
          <w:smallCaps w:val="false"/>
          <w:sz w:val="20"/>
        </w:rPr>
        <w:t>. At or before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time of any Business Combination Event, the Company will deliver to the Trustee an Officer’s Certificate and Opinion of Counsel, each stating that (i) such Business Combination Event (and, if applicable, the related supplemental indenture) comply with ‎</w:t>
      </w:r>
      <w:r>
        <w:rPr>
          <w:rFonts w:ascii="Times New Roman;Times;Serif" w:hAnsi="Times New Roman;Times;Serif"/>
          <w:b/>
          <w:i w:val="false"/>
          <w:caps w:val="false"/>
          <w:smallCaps w:val="false"/>
          <w:sz w:val="20"/>
        </w:rPr>
        <w:t>Section 6.01(A</w:t>
      </w:r>
      <w:r>
        <w:rPr>
          <w:rFonts w:ascii="Times New Roman;Times;Serif" w:hAnsi="Times New Roman;Times;Serif"/>
          <w:b w:val="false"/>
          <w:i w:val="false"/>
          <w:caps w:val="false"/>
          <w:smallCaps w:val="false"/>
          <w:sz w:val="20"/>
        </w:rPr>
        <w:t>); and (ii) all conditions precedent to such Business Combination Event provided in this Indenture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6.02.   Successor Entity Substituted.</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any Business Combination Event that complies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6.01,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6.03.   Exclusion for Asset Transfers with Wholly Owned Subsidiaries.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6,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6 will not apply to any transfer of assets between or among the Company and any one or more of its Wholly Owned Subsidiaries not effected by merger or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   Defaults and Remedies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7.01.   Events of Default.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Definition of Events of Default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default in the payment when due (whether at maturity, upon Redemption or Repurchase Upon Fundamental Change or otherwise) of the principal of, or the Redemption Price or Fundamental Change Repurchase Price for, any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default for thirty (30) consecutive days in the payment when due of interest on any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Company’s failure to deliver, when required by this Indenture, a Fundamental Change Notice, or a notice pursuant to ‎</w:t>
      </w:r>
      <w:r>
        <w:rPr>
          <w:rFonts w:ascii="Times New Roman;Times;Serif" w:hAnsi="Times New Roman;Times;Serif"/>
          <w:b/>
          <w:i w:val="false"/>
          <w:caps w:val="false"/>
          <w:smallCaps w:val="false"/>
          <w:sz w:val="20"/>
        </w:rPr>
        <w:t>Section 5.01(C)(i)(3</w:t>
      </w:r>
      <w:r>
        <w:rPr>
          <w:rFonts w:ascii="Times New Roman;Times;Serif" w:hAnsi="Times New Roman;Times;Serif"/>
          <w:b w:val="false"/>
          <w:i w:val="false"/>
          <w:caps w:val="false"/>
          <w:smallCaps w:val="false"/>
          <w:sz w:val="20"/>
        </w:rPr>
        <w:t>), if (in the case of any notice other than a notice pursuant to ‎</w:t>
      </w:r>
      <w:r>
        <w:rPr>
          <w:rFonts w:ascii="Times New Roman;Times;Serif" w:hAnsi="Times New Roman;Times;Serif"/>
          <w:b/>
          <w:i w:val="false"/>
          <w:caps w:val="false"/>
          <w:smallCaps w:val="false"/>
          <w:sz w:val="20"/>
        </w:rPr>
        <w:t>Section 5.01(C)(i)(3</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such failure is not cured within five (5) days after its occurrence;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default in the Company’s obligation to Convert a Note in accordance with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upon the exercise of the Conversion right with respect thereto, if such default is not cured within three (3) Business Days after its occurrence;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default in the Company’s obligations under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 default in any of the Company’s obligations or agreements under this Indenture or the Notes (other than a default set forth in </w:t>
      </w:r>
      <w:r>
        <w:rPr>
          <w:rFonts w:ascii="Times New Roman;Times;Serif" w:hAnsi="Times New Roman;Times;Serif"/>
          <w:b/>
          <w:i w:val="false"/>
          <w:caps w:val="false"/>
          <w:smallCaps w:val="false"/>
          <w:sz w:val="20"/>
        </w:rPr>
        <w:t>clause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(v</w:t>
      </w:r>
      <w:r>
        <w:rPr>
          <w:rFonts w:ascii="Times New Roman;Times;Serif" w:hAnsi="Times New Roman;Times;Serif"/>
          <w:b w:val="false"/>
          <w:i w:val="false"/>
          <w:caps w:val="false"/>
          <w:smallCaps w:val="false"/>
          <w:sz w:val="20"/>
        </w:rPr>
        <w:t>)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default by the Company or any of the Company’s Significant Subsidiaries with respect to any one or more mortgages, agreements or other instruments under which there is outstanding, or by which there is secured or evidenced, any indebtedness for money borrowed of at least forty million dollars ($40,000,000) (or its foreign currency equivalent) in the aggregate of the Company or any of the Company’s Significant Subsidiaries, whether such indebtedness exists as of the Issue Date or is thereafter created, where such default: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constitutes a failure to pay the principal of such indebtedness when due and payable at its stated maturity, upon required repurchase, upon declaration of acceleration or otherwise, in each case after the expiration of any applicable grace period;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results in such indebtedness becoming or being declared due and payable before its stated maturity,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where such default is not cured or waived within thirty (30) days after notice to the Company by the Trustee or to the Company and the Trustee by Holders of at least twenty five percent (25%) of the aggregate principal amount of Notes then outstanding;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Company or any of its Significant Subsidiaries, pursuant to or within the meaning of any Bankruptcy Law, either: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commences a voluntary case or proceeding;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consents to the entry of an order for relief against it in an involuntary case or proceeding;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consents to the appointment of a custodian of it or for any substantial part of its property;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makes a general assignment for the benefit of its creditors;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takes any comparable action under any foreign Bankruptcy Law;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generally is not paying its debts as they become due;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court of competent jurisdiction enters an order or decree under any Bankruptcy Law that either: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is for relief against the Company or any of its Significant Subsidiaries in an involuntary case or proceeding;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appoints a custodian of the Company or any of its Significant Subsidiaries, or for any substantial part of the property of the Company or any of its Significant Subsidiaries;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orders the winding up or liquidation of the Company or any of its Significant Subsidiaries;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grants any similar relief under any foreign Bankruptcy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case under this ‎</w:t>
      </w:r>
      <w:r>
        <w:rPr>
          <w:rFonts w:ascii="Times New Roman;Times;Serif" w:hAnsi="Times New Roman;Times;Serif"/>
          <w:b/>
          <w:i w:val="false"/>
          <w:caps w:val="false"/>
          <w:smallCaps w:val="false"/>
          <w:sz w:val="20"/>
        </w:rPr>
        <w:t>Section 7.01(A)(ix</w:t>
      </w:r>
      <w:r>
        <w:rPr>
          <w:rFonts w:ascii="Times New Roman;Times;Serif" w:hAnsi="Times New Roman;Times;Serif"/>
          <w:b w:val="false"/>
          <w:i w:val="false"/>
          <w:caps w:val="false"/>
          <w:smallCaps w:val="false"/>
          <w:sz w:val="20"/>
        </w:rPr>
        <w:t>), such order or decree remains unstayed and in effect for at least sixty (60) days.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Cause Irrelevant</w:t>
      </w:r>
      <w:r>
        <w:rPr>
          <w:rFonts w:ascii="Times New Roman;Times;Serif" w:hAnsi="Times New Roman;Times;Serif"/>
          <w:b w:val="false"/>
          <w:i w:val="false"/>
          <w:caps w:val="false"/>
          <w:smallCaps w:val="false"/>
          <w:sz w:val="20"/>
        </w:rPr>
        <w:t>. Each of the events set forth in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will constitute an Event of Default regardless of the cause thereof or whether voluntary or involuntary or effected by operation of law or pursuant to any judgment, decree or order of any court or any order, rule or regulation of any administrative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7.02.   Acceleration.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Automatic Acceleration in Certain Circumstances</w:t>
      </w:r>
      <w:r>
        <w:rPr>
          <w:rFonts w:ascii="Times New Roman;Times;Serif" w:hAnsi="Times New Roman;Times;Serif"/>
          <w:b w:val="false"/>
          <w:i w:val="false"/>
          <w:caps w:val="false"/>
          <w:smallCaps w:val="false"/>
          <w:sz w:val="20"/>
        </w:rPr>
        <w:t>. If an Event of Default set forth in ‎</w:t>
      </w:r>
      <w:r>
        <w:rPr>
          <w:rFonts w:ascii="Times New Roman;Times;Serif" w:hAnsi="Times New Roman;Times;Serif"/>
          <w:b/>
          <w:i w:val="false"/>
          <w:caps w:val="false"/>
          <w:smallCaps w:val="false"/>
          <w:sz w:val="20"/>
        </w:rPr>
        <w:t>Section 7.01(A)(viii</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7.01(A)(ix</w:t>
      </w:r>
      <w:r>
        <w:rPr>
          <w:rFonts w:ascii="Times New Roman;Times;Serif" w:hAnsi="Times New Roman;Times;Serif"/>
          <w:b w:val="false"/>
          <w:i w:val="false"/>
          <w:caps w:val="false"/>
          <w:smallCaps w:val="false"/>
          <w:sz w:val="20"/>
        </w:rPr>
        <w:t>) occurs with 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Optional Acceleration</w:t>
      </w:r>
      <w:r>
        <w:rPr>
          <w:rFonts w:ascii="Times New Roman;Times;Serif" w:hAnsi="Times New Roman;Times;Serif"/>
          <w:b w:val="false"/>
          <w:i w:val="false"/>
          <w:caps w:val="false"/>
          <w:smallCaps w:val="false"/>
          <w:sz w:val="20"/>
        </w:rPr>
        <w:t>. Subject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7.03, if an Event of Default (other than an Event of Default set forth in ‎</w:t>
      </w:r>
      <w:r>
        <w:rPr>
          <w:rFonts w:ascii="Times New Roman;Times;Serif" w:hAnsi="Times New Roman;Times;Serif"/>
          <w:b/>
          <w:i w:val="false"/>
          <w:caps w:val="false"/>
          <w:smallCaps w:val="false"/>
          <w:sz w:val="20"/>
        </w:rPr>
        <w:t>Section 7.01(A)(viii</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7.01(A)(ix</w:t>
      </w:r>
      <w:r>
        <w:rPr>
          <w:rFonts w:ascii="Times New Roman;Times;Serif" w:hAnsi="Times New Roman;Times;Serif"/>
          <w:b w:val="false"/>
          <w:i w:val="false"/>
          <w:caps w:val="false"/>
          <w:smallCaps w:val="false"/>
          <w:sz w:val="20"/>
        </w:rPr>
        <w:t>) with respect to the Company and not solely with respect to a Significant Subsidiary of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Rescission of Acceleration</w:t>
      </w:r>
      <w:r>
        <w:rPr>
          <w:rFonts w:ascii="Times New Roman;Times;Serif" w:hAnsi="Times New Roman;Times;Serif"/>
          <w:b w:val="false"/>
          <w:i w:val="false"/>
          <w:caps w:val="false"/>
          <w:smallCaps w:val="false"/>
          <w:sz w:val="20"/>
        </w:rPr>
        <w:t>. Notwithstanding anything to the contrary in this Indenture or the Notes, the Holders of a 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7.03.   Sole Remedy for a Failure to Report.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Notwithstanding anything to the contrary in this Indenture or the Notes, the Company may elect that the sole remedy for any Event of Default (a “</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pursuant to ‎</w:t>
      </w:r>
      <w:r>
        <w:rPr>
          <w:rFonts w:ascii="Times New Roman;Times;Serif" w:hAnsi="Times New Roman;Times;Serif"/>
          <w:b/>
          <w:i w:val="false"/>
          <w:caps w:val="false"/>
          <w:smallCaps w:val="false"/>
          <w:sz w:val="20"/>
        </w:rPr>
        <w:t>Section 7.01(A)(vi</w:t>
      </w:r>
      <w:r>
        <w:rPr>
          <w:rFonts w:ascii="Times New Roman;Times;Serif" w:hAnsi="Times New Roman;Times;Serif"/>
          <w:b w:val="false"/>
          <w:i w:val="false"/>
          <w:caps w:val="false"/>
          <w:smallCaps w:val="false"/>
          <w:sz w:val="20"/>
        </w:rPr>
        <w:t>) arising from the Company’s failure to comply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3.02 will, for each of the first three hundred sixty five (365) calendar days on which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Event of Default has occurred and is continuing, consist exclusively of the accrual of Special Interest on the Notes. If the Company has made such an election, then (i) the Notes will be subject to acceleration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7.02 on account of the relevant Reporting Event of Default from, and including, the three hundred sixty sixth (366th) calendar day on which a Reporting Event of Default has occurred and is continuing or if the Company fails to pay any accrued and unpaid Special Interest when due; and (ii) Special Interest will cease to accrue on any Notes from, and including, such three hundred sixty sixth (366th) calendar day (it being understood that interest on any defaulted Special Interest will nonetheless accrue pursuant to ‎</w:t>
      </w:r>
      <w:r>
        <w:rPr>
          <w:rFonts w:ascii="Times New Roman;Times;Serif" w:hAnsi="Times New Roman;Times;Serif"/>
          <w:b/>
          <w:i w:val="false"/>
          <w:caps w:val="false"/>
          <w:smallCaps w:val="false"/>
          <w:sz w:val="20"/>
        </w:rPr>
        <w:t>Section 2.05(B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Amount and Payment of Special Interest</w:t>
      </w:r>
      <w:r>
        <w:rPr>
          <w:rFonts w:ascii="Times New Roman;Times;Serif" w:hAnsi="Times New Roman;Times;Serif"/>
          <w:b w:val="false"/>
          <w:i w:val="false"/>
          <w:caps w:val="false"/>
          <w:smallCaps w:val="false"/>
          <w:sz w:val="20"/>
        </w:rPr>
        <w:t>. Any Special Interest that accrues on a Note pursuant to ‎</w:t>
      </w:r>
      <w:r>
        <w:rPr>
          <w:rFonts w:ascii="Times New Roman;Times;Serif" w:hAnsi="Times New Roman;Times;Serif"/>
          <w:b/>
          <w:i w:val="false"/>
          <w:caps w:val="false"/>
          <w:smallCaps w:val="false"/>
          <w:sz w:val="20"/>
        </w:rPr>
        <w:t>Section 7.03(A</w:t>
      </w:r>
      <w:r>
        <w:rPr>
          <w:rFonts w:ascii="Times New Roman;Times;Serif" w:hAnsi="Times New Roman;Times;Serif"/>
          <w:b w:val="false"/>
          <w:i w:val="false"/>
          <w:caps w:val="false"/>
          <w:smallCaps w:val="false"/>
          <w:sz w:val="20"/>
        </w:rPr>
        <w:t xml:space="preserve">) will be payable on the same dates and in the same manner as the Stated Interest on such Note and will accrue at a rate per annum equal to one quarter of one percent (0.25%) of the principal amount thereof for the first one hundred eighty (180) days on which Special Interest accrues and, thereafter, at a rate per annum equal to one half of one percent (0.50%) of the principal amount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will Special Interest payable at the Company’s election for a Reporting Event of Default, together with any Additional Interest (excluding any interest that accrues on any Deferred Additional Interest pursuant to ‎</w:t>
      </w:r>
      <w:r>
        <w:rPr>
          <w:rFonts w:ascii="Times New Roman;Times;Serif" w:hAnsi="Times New Roman;Times;Serif"/>
          <w:b/>
          <w:i w:val="false"/>
          <w:caps w:val="false"/>
          <w:smallCaps w:val="false"/>
          <w:sz w:val="20"/>
        </w:rPr>
        <w:t>Section 3.04(C)</w:t>
      </w:r>
      <w:r>
        <w:rPr>
          <w:rFonts w:ascii="Times New Roman;Times;Serif" w:hAnsi="Times New Roman;Times;Serif"/>
          <w:b w:val="false"/>
          <w:i w:val="false"/>
          <w:caps w:val="false"/>
          <w:smallCaps w:val="false"/>
          <w:sz w:val="20"/>
        </w:rPr>
        <w:t>) that accrues as a result of the Company’s failure to timely file any document or report that it is required to file with the SEC pursuant to Section 13 or 15(d) of the Exchange Act, as applicable (other than reports on Form 8-K), accrue on any day on a Note at a combined rate per annum that exceeds one half of one percent (0.50%). For the avoidance of doubt, any Special Interest that accrues on a Note will be in addition to the Stated Interest that accrues on such Note and, subject to the proviso of the immediately preceding sentence, in addition to any Additional Interest that accrues on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Notice of Election</w:t>
      </w:r>
      <w:r>
        <w:rPr>
          <w:rFonts w:ascii="Times New Roman;Times;Serif" w:hAnsi="Times New Roman;Times;Serif"/>
          <w:b w:val="false"/>
          <w:i w:val="false"/>
          <w:caps w:val="false"/>
          <w:smallCaps w:val="false"/>
          <w:sz w:val="20"/>
        </w:rPr>
        <w:t>. To make the election set forth in ‎</w:t>
      </w:r>
      <w:r>
        <w:rPr>
          <w:rFonts w:ascii="Times New Roman;Times;Serif" w:hAnsi="Times New Roman;Times;Serif"/>
          <w:b/>
          <w:i w:val="false"/>
          <w:caps w:val="false"/>
          <w:smallCaps w:val="false"/>
          <w:sz w:val="20"/>
        </w:rPr>
        <w:t>Section 7.03(A</w:t>
      </w:r>
      <w:r>
        <w:rPr>
          <w:rFonts w:ascii="Times New Roman;Times;Serif" w:hAnsi="Times New Roman;Times;Serif"/>
          <w:b w:val="false"/>
          <w:i w:val="false"/>
          <w:caps w:val="false"/>
          <w:smallCaps w:val="false"/>
          <w:sz w:val="20"/>
        </w:rPr>
        <w:t>), the Company must send to the Holders, the Trustee and the Paying Agent,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Notice to Trustee and Paying Agent; Trustee’s Disclaimer</w:t>
      </w:r>
      <w:r>
        <w:rPr>
          <w:rFonts w:ascii="Times New Roman;Times;Serif" w:hAnsi="Times New Roman;Times;Serif"/>
          <w:b w:val="false"/>
          <w:i w:val="false"/>
          <w:caps w:val="false"/>
          <w:smallCaps w:val="false"/>
          <w:sz w:val="20"/>
        </w:rPr>
        <w:t>. 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No Effect on Other Events of Default</w:t>
      </w:r>
      <w:r>
        <w:rPr>
          <w:rFonts w:ascii="Times New Roman;Times;Serif" w:hAnsi="Times New Roman;Times;Serif"/>
          <w:b w:val="false"/>
          <w:i w:val="false"/>
          <w:caps w:val="false"/>
          <w:smallCaps w:val="false"/>
          <w:sz w:val="20"/>
        </w:rPr>
        <w:t>. No election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7.03 with respect to a Reporting Event of Default will affect the rights of any Holder with respect to any other Event of Default, including with respect to any other Reporting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7.04.   Other Remedies.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Trustee May Pursue All Remedies</w:t>
      </w:r>
      <w:r>
        <w:rPr>
          <w:rFonts w:ascii="Times New Roman;Times;Serif" w:hAnsi="Times New Roman;Times;Serif"/>
          <w:b w:val="false"/>
          <w:i w:val="false"/>
          <w:caps w:val="false"/>
          <w:smallCaps w:val="false"/>
          <w:sz w:val="20"/>
        </w:rPr>
        <w:t>. If an Event of Default occurs and is continuing, then the Trustee may pursue any available remedy to collect the payment of any amounts due with respect to the Notes or to enforce the performance of any provision of this Indenture 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Procedural Matters</w:t>
      </w:r>
      <w:r>
        <w:rPr>
          <w:rFonts w:ascii="Times New Roman;Times;Serif" w:hAnsi="Times New Roman;Times;Serif"/>
          <w:b w:val="false"/>
          <w:i w:val="false"/>
          <w:caps w:val="false"/>
          <w:smallCaps w:val="false"/>
          <w:sz w:val="20"/>
        </w:rPr>
        <w:t>.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7.05.   Waiver of Past Defaults.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Event of Default pursuant to </w:t>
      </w:r>
      <w:r>
        <w:rPr>
          <w:rFonts w:ascii="Times New Roman;Times;Serif" w:hAnsi="Times New Roman;Times;Serif"/>
          <w:b/>
          <w:i w:val="false"/>
          <w:caps w:val="false"/>
          <w:smallCaps w:val="false"/>
          <w:sz w:val="20"/>
        </w:rPr>
        <w:t>clause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(vi</w:t>
      </w:r>
      <w:r>
        <w:rPr>
          <w:rFonts w:ascii="Times New Roman;Times;Serif" w:hAnsi="Times New Roman;Times;Serif"/>
          <w:b w:val="false"/>
          <w:i w:val="false"/>
          <w:caps w:val="false"/>
          <w:smallCaps w:val="false"/>
          <w:sz w:val="20"/>
        </w:rPr>
        <w:t>)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(vi</w:t>
      </w:r>
      <w:r>
        <w:rPr>
          <w:rFonts w:ascii="Times New Roman;Times;Serif" w:hAnsi="Times New Roman;Times;Serif"/>
          <w:b w:val="false"/>
          <w:i w:val="false"/>
          <w:caps w:val="false"/>
          <w:smallCaps w:val="false"/>
          <w:sz w:val="20"/>
        </w:rPr>
        <w:t>)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7.06.   Control by Majority.</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10.01,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7.07.   Limitation on Suits.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may pursue any remedy with respect to this Indenture or the Notes (except to enforce (x) its rights to receive the principal of, or the Fundamental Change Repurchase Price or Redemption Price for, or any interest on, any Notes; or (y) the Company’s obligations to Convert any Notes pursuant to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delivered to the Trustee notice that an Event of Default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at least twenty five percent (25%) in aggregate principal amount of the Notes then outstanding deliver a written request to the Trustee to pursue such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offer and, if requested, provide to the Trustee security and indemnity satisfactory to the Trustee against any loss, liability or expense to the Trustee that may result from the Trustee’s following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does not comply with such request within sixty (60) calendar days after its receipt of such request and such offer of security or indemnity;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sixty (60) calendar day period, Holders of a majority in aggregate principal amount of the Notes then outstanding do not deliver to the Trustee a direction that is inconsistent with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Note may not use this Indenture to prejudice the rights of another Holder or to obtain a preference or priority over another Holder. The Trustee will have no duty to determine whether any Holder’s use of this Indenture complies with the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7.08.   Absolute Right of Holders to Institute Suit for the Enforcement of the Right to Receive Payment and Conversion Consideration.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Indenture or the Notes (but without limiting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8.01), the right of each Holder of a Note to bring suit for the enforcement of any payment or delivery, as applicable, of the principal of, or the Fundamental Change Repurchase Price or Redemption Price for, or any interest on, or the Conversion Consideration due pursuant to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upon Conversion of, such Note on or after the respective due dates therefor provided in this Indenture and the Notes, will not be impaired or affected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7.09.   Collection Suit by Trustee.</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will have the right, upon the occurrence and continuance of an Event of Default pursuant to </w:t>
      </w:r>
      <w:r>
        <w:rPr>
          <w:rFonts w:ascii="Times New Roman;Times;Serif" w:hAnsi="Times New Roman;Times;Serif"/>
          <w:b/>
          <w:i w:val="false"/>
          <w:caps w:val="false"/>
          <w:smallCaps w:val="false"/>
          <w:sz w:val="20"/>
        </w:rPr>
        <w:t>clause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to recover judgment in its own name and as trustee of an express trust against the Company for the total unpaid or undelivered principal of, or Fundamental Change Repurchase Price or Redemption Price for, or any interest on, or Conversion Consideration due pursuant to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5 upon Conversion of, the Notes, as applicable, and, to the extent lawful, any Default Interest on any Defaulted Amounts, and such further amounts sufficient to cover the costs and expenses of collection, including compensation provided for in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7.10.   Trustee May File Proofs of Claim.</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10.06. To the extent that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7.11.   Priorities.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pay or deliver in the following order any money or other property that it collects pursuant to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w:t>
        <w:tab/>
        <w:t>to the Trustee and its agents and attorneys for amounts due under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10.06, including payment of all fees and compensation of, and all expenses and liabilities incurred, and all advances made, by, the Trustee (in each of its capacities under this Indenture, including as Note Agent) and the costs and expenses of collection;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w:t>
        <w:tab/>
        <w:t>to Holders for unpaid amounts or other property due on the Notes, including the principal of, or the Fundamental Change Repurchase Price or Redemption Price for, or any interest on, or any Conversion Consideration due upon Conversion of, the Notes, ratably, and without preference or priority of any kind, according to such amounts or other property due and payable on all of the Notes;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w:t>
        <w:tab/>
        <w:t>to the Company or such other Person as a court of competent jurisdiction directs.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or delivery to the Holders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7.11,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7.12.   Undertaking for Costs.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7.12 does not apply to any suit by the Trustee, any suit by a Holder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7.08 or any suit by one or more Holders of more than ten percent (10%) in aggregate principal amount of the Notes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   Amendments, Supplements and Waivers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8.01.   Without the Consent of Holders.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8.02, the Company and the Trustee may amend or supplement this Indenture or the Notes without the consent of any Holder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cure any ambiguity or correct any omission, defect or inconsistency in this Indenture 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 guarantees with respect to the Company’s obligations under this Indenture 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secure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add to the Company’s covenants or Events of Default for the benefit of the Holders or surrender any right or power conferred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provide for the assumption of the Company’s obligations under this Indenture and the Notes pursuant to, and in compliance with,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 into supplemental indentures pursuant to, and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5.09 in connection with a Common Stock Change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irrevocably elect or eliminate any Settlement Method or Specified Dollar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no such election or elimination will affect any Settlement Method theretofore elected (or deemed to be elected) with respect to any Note pursuant to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and (ii) such irrevocable election or elimination can in no event result in a Specified Dollar Amount of less than $1,000 per $1,000 principal amount of Notes applying to the Conversion of any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evidence or provide for the acceptance of the appointment, under this Indenture,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conform the provisions of this Indenture and the Notes to the “Description of Notes” section of the Company’s preliminary offering memorandum, dated August 7, 2024, as supplemented by the related pricing term sheet, dated August 7,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provide for or confirm the issuance of additional Notes pursuant to ‎</w:t>
      </w:r>
      <w:r>
        <w:rPr>
          <w:rFonts w:ascii="Times New Roman;Times;Serif" w:hAnsi="Times New Roman;Times;Serif"/>
          <w:b/>
          <w:i w:val="false"/>
          <w:caps w:val="false"/>
          <w:smallCaps w:val="false"/>
          <w:sz w:val="20"/>
        </w:rPr>
        <w:t>Section 2.03(B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comply with any requirement of the SEC in connection with any qualification of this Indenture, or any related supplemental indenture, under the Trust Indenture Act, as then in effect;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make any other change to this Indenture or the Notes that does not, individually or in the aggregate with all other such changes, adversely affect the rights of the Holders, as such, in any material respect, as determined by the Company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written request of any Holder of a Note or owner of a beneficial interest in a Global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Company will provide a copy of the “Description of Notes” section and pricing term sheet referred to in ‎</w:t>
      </w:r>
      <w:r>
        <w:rPr>
          <w:rFonts w:ascii="Times New Roman;Times;Serif" w:hAnsi="Times New Roman;Times;Serif"/>
          <w:b/>
          <w:i w:val="false"/>
          <w:caps w:val="false"/>
          <w:smallCaps w:val="false"/>
          <w:sz w:val="20"/>
        </w:rPr>
        <w:t>Section 8.01(I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8.02.   With the Consent of Holders.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 xml:space="preserve">Sections </w:t>
      </w:r>
      <w:r>
        <w:rPr>
          <w:rFonts w:ascii="Times New Roman;Times;Serif" w:hAnsi="Times New Roman;Times;Serif"/>
          <w:b w:val="false"/>
          <w:i w:val="false"/>
          <w:caps w:val="false"/>
          <w:smallCaps w:val="false"/>
          <w:sz w:val="20"/>
        </w:rPr>
        <w:t xml:space="preserve">‎8.01, ‎7.05 and ‎7.08 and the immediately following sentence, the Company and the Trustee may, with the 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‎8.01, without the consent of each affected Holder, no amendment or supplement to this Indenture or the Notes, or waiver of any provision of this Indenture or the Notes, may: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reduce the principal, or change the stated maturity, of any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Redemption Price or Fundamental Change Repurchase Price for any Note or change the times at which, or the circumstances under which, the Notes may or will be redeemed or repurchased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reduce the rate, or extend the time for the payment, of interest on any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 any change that adversely affects the Conversion rights of any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impair the rights of any Holder set forth in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7.08 (as such section is in effect on the Issue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change the ranking of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make any Note payable in money, or at a place of payment, other than that stated in this Indenture or the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reduce the amount of Notes whose Holders must consent to any amendment, supplement, waiver or other modification;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make any direct or indirect change to any amendment, supplement, waiver or modification provision of this Indenture or the Notes that requires the consent of each affected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pursuant to </w:t>
      </w:r>
      <w:r>
        <w:rPr>
          <w:rFonts w:ascii="Times New Roman;Times;Serif" w:hAnsi="Times New Roman;Times;Serif"/>
          <w:b/>
          <w:i w:val="false"/>
          <w:caps w:val="false"/>
          <w:smallCaps w:val="false"/>
          <w:sz w:val="20"/>
        </w:rPr>
        <w:t>clauses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of this ‎</w:t>
      </w:r>
      <w:r>
        <w:rPr>
          <w:rFonts w:ascii="Times New Roman;Times;Serif" w:hAnsi="Times New Roman;Times;Serif"/>
          <w:b/>
          <w:i w:val="false"/>
          <w:caps w:val="false"/>
          <w:smallCaps w:val="false"/>
          <w:sz w:val="20"/>
        </w:rPr>
        <w:t>Section 8.02(A</w:t>
      </w:r>
      <w:r>
        <w:rPr>
          <w:rFonts w:ascii="Times New Roman;Times;Serif" w:hAnsi="Times New Roman;Times;Serif"/>
          <w:b w:val="false"/>
          <w:i w:val="false"/>
          <w:caps w:val="false"/>
          <w:smallCaps w:val="false"/>
          <w:sz w:val="20"/>
        </w:rPr>
        <w:t>), no amendment or supplement to this Indenture or the Notes, or waiver of any provision of this Indenture or the Notes, may change the amount or type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Holders Need Not Approve the Particular Form of any Amendment</w:t>
      </w:r>
      <w:r>
        <w:rPr>
          <w:rFonts w:ascii="Times New Roman;Times;Serif" w:hAnsi="Times New Roman;Times;Serif"/>
          <w:b w:val="false"/>
          <w:i w:val="false"/>
          <w:caps w:val="false"/>
          <w:smallCaps w:val="false"/>
          <w:sz w:val="20"/>
        </w:rPr>
        <w:t>. A consent of any Holder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8.02 need approve only the substance, and not necessarily the particular form, of the proposed amendment, supplement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8.03.   Notice of Amendments, Supplements and Waivers.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soon as reasonably practicable after any amendment, supplement or waiver pursuant to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xml:space="preserve"> ‎8.01 or ‎8.02 becomes effective, the Company will send to the Holders and the Trustee notice that (A) describes the substance of such amendment, supplement or waiver in reasonable detail and (B) states the effective date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8.04.   Revocation, Effect and Solicitation of Consents; Special Record Dates; Etc.</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Revocation and Effect of Consents</w:t>
      </w:r>
      <w:r>
        <w:rPr>
          <w:rFonts w:ascii="Times New Roman;Times;Serif" w:hAnsi="Times New Roman;Times;Serif"/>
          <w:b w:val="false"/>
          <w:i w:val="false"/>
          <w:caps w:val="false"/>
          <w:smallCaps w:val="false"/>
          <w:sz w:val="20"/>
        </w:rPr>
        <w:t>.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Times;Serif" w:hAnsi="Times New Roman;Times;Serif"/>
          <w:b/>
          <w:i w:val="false"/>
          <w:caps w:val="false"/>
          <w:smallCaps w:val="false"/>
          <w:sz w:val="20"/>
        </w:rPr>
        <w:t>Section 8.04(B</w:t>
      </w:r>
      <w:r>
        <w:rPr>
          <w:rFonts w:ascii="Times New Roman;Times;Serif" w:hAnsi="Times New Roman;Times;Serif"/>
          <w:b w:val="false"/>
          <w:i w:val="false"/>
          <w:caps w:val="false"/>
          <w:smallCaps w:val="false"/>
          <w:sz w:val="20"/>
        </w:rPr>
        <w:t>)) any such consent with respect to such Note by delivering notice of revocation to the Trustee before the time such amendment, supplement or waiver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Special Record Dates</w:t>
      </w:r>
      <w:r>
        <w:rPr>
          <w:rFonts w:ascii="Times New Roman;Times;Serif" w:hAnsi="Times New Roman;Times;Serif"/>
          <w:b w:val="false"/>
          <w:i w:val="false"/>
          <w:caps w:val="false"/>
          <w:smallCaps w:val="false"/>
          <w:sz w:val="20"/>
        </w:rPr>
        <w:t>. The Company may, but is not required to, fix a record date for the purpose of determining the Holders entitled to consent or take any other action in connection with any amendment, supplement or waiver pursuant to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8. If a record date is fixed, then, notwithstanding anything to the contrary in ‎</w:t>
      </w:r>
      <w:r>
        <w:rPr>
          <w:rFonts w:ascii="Times New Roman;Times;Serif" w:hAnsi="Times New Roman;Times;Serif"/>
          <w:b/>
          <w:i w:val="false"/>
          <w:caps w:val="false"/>
          <w:smallCaps w:val="false"/>
          <w:sz w:val="20"/>
        </w:rPr>
        <w:t>Section 8.04(A</w:t>
      </w:r>
      <w:r>
        <w:rPr>
          <w:rFonts w:ascii="Times New Roman;Times;Serif" w:hAnsi="Times New Roman;Times;Serif"/>
          <w:b w:val="false"/>
          <w:i w:val="false"/>
          <w:caps w:val="false"/>
          <w:smallCaps w:val="false"/>
          <w:sz w:val="20"/>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consent will be valid or effective for more than one hundred and twenty (120) calendar days after such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Solicitation of Consents</w:t>
      </w:r>
      <w:r>
        <w:rPr>
          <w:rFonts w:ascii="Times New Roman;Times;Serif" w:hAnsi="Times New Roman;Times;Serif"/>
          <w:b w:val="false"/>
          <w:i w:val="false"/>
          <w:caps w:val="false"/>
          <w:smallCaps w:val="false"/>
          <w:sz w:val="20"/>
        </w:rPr>
        <w:t>. For the avoidance of doubt, each reference in this Indenture or the Notes to the consent of a Holder will be deemed to include any such consent obtained in connection with a repurchase of, or tender or exchange offer for, any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Effectiveness and Binding Effect</w:t>
      </w:r>
      <w:r>
        <w:rPr>
          <w:rFonts w:ascii="Times New Roman;Times;Serif" w:hAnsi="Times New Roman;Times;Serif"/>
          <w:b w:val="false"/>
          <w:i w:val="false"/>
          <w:caps w:val="false"/>
          <w:smallCaps w:val="false"/>
          <w:sz w:val="20"/>
        </w:rPr>
        <w:t>. Each amendment, supplement or waiver pursuant to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8 will become effective in accordance with its terms and, when it becomes effective with respect to any Note (or any portion thereof), will thereafter bind every Holder of such Note (or such portion).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8.05.   Notations and Exchanges.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for such Note, issue, execute and deliver, and the Trustee will authenticate, in each case in accordance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2.02, a new Note that reflects the changed terms. The failure to make any appropriate notation or issue a new Note pursuant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8.05 will not impair or affect the validity of such amendment, supplement or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8.06.   Trustee to Execute Supplemental Indentures.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execute and deliver any amendment or supplemental indenture authorized pursuant to this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Trustee need not (but may, in its sole and absolute discretion) execute or deliver any such amendment or supplemental indenture that adversely affects the Trustee’s rights, duties, liabilities or immunities. In executing any amendment or supplemental indenture, the Trustee will be entitled to receive, and (subject to </w:t>
      </w:r>
      <w:r>
        <w:rPr>
          <w:rFonts w:ascii="Times New Roman;Times;Serif" w:hAnsi="Times New Roman;Times;Serif"/>
          <w:b/>
          <w:i w:val="false"/>
          <w:caps w:val="false"/>
          <w:smallCaps w:val="false"/>
          <w:sz w:val="20"/>
        </w:rPr>
        <w:t>Sections</w:t>
      </w:r>
      <w:r>
        <w:rPr>
          <w:rFonts w:ascii="Times New Roman;Times;Serif" w:hAnsi="Times New Roman;Times;Serif"/>
          <w:b w:val="false"/>
          <w:i w:val="false"/>
          <w:caps w:val="false"/>
          <w:smallCaps w:val="false"/>
          <w:sz w:val="20"/>
        </w:rPr>
        <w:t xml:space="preserve"> ‎10.01 and ‎10.02)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   Satisfaction and Discharge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9.01.   Termination of Company’s Obligations.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will be discharged, and will cease to be of further effect as to all Notes issued under this Indenture,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Notes then outstanding (other than Notes replaced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2.13) have (i) been delivered to the Trustee for cancellation; or (ii) become due and payable (whether on a Redemption Date, a Fundamental Change Repurchase Date, the Maturity Date, upon Conversion or otherwise) for an amount of cash or Conversion Consideration, as applicable, that has been fixed;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paid all other amounts payable by it under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delivered to the Trustee an Officer’s Certificate and an Opinion of Counsel, each stating that the conditions precedent to the discharge of this Indenture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t>
      </w:r>
      <w:r>
        <w:rPr>
          <w:rFonts w:ascii="Times New Roman;Times;Serif" w:hAnsi="Times New Roman;Times;Serif"/>
          <w:b/>
          <w:i w:val="false"/>
          <w:caps w:val="false"/>
          <w:smallCaps w:val="false"/>
          <w:sz w:val="20"/>
        </w:rPr>
        <w:t xml:space="preserve">Article </w:t>
      </w:r>
      <w:r>
        <w:rPr>
          <w:rFonts w:ascii="Times New Roman;Times;Serif" w:hAnsi="Times New Roman;Times;Serif"/>
          <w:b w:val="false"/>
          <w:i w:val="false"/>
          <w:caps w:val="false"/>
          <w:smallCaps w:val="false"/>
          <w:sz w:val="20"/>
        </w:rPr>
        <w:t>10 and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11.01 will survive such discharge and, until no Notes remain outstanding,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2.15 and the obligations of the Trustee, the Paying Agent and the Conversion Agent with respect to money or other property deposited with them will survive such 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will acknowledge the satisfaction and discharge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9.02.   Repayment to Company.</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9.03.   Reinstatement.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the Paying Agent or the Conversion Agent is unable to apply any cash or other property deposited with it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9.01 because of any legal proceeding or any order or judgment of any court or other governmental authority that enjoins, restrains or otherwise prohibits such application, then the discharge of this Indenture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 xml:space="preserve">9.01 will be rescinded;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   Trustee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10.01. Duties of the Trustee.</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and a Responsible Officer of the Trustee has written notice or actual knowledge of the same, then, without limiting the generality of ‎</w:t>
      </w:r>
      <w:r>
        <w:rPr>
          <w:rFonts w:ascii="Times New Roman;Times;Serif" w:hAnsi="Times New Roman;Times;Serif"/>
          <w:b/>
          <w:i w:val="false"/>
          <w:caps w:val="false"/>
          <w:smallCaps w:val="false"/>
          <w:sz w:val="20"/>
        </w:rPr>
        <w:t>Section 10.02(F</w:t>
      </w:r>
      <w:r>
        <w:rPr>
          <w:rFonts w:ascii="Times New Roman;Times;Serif" w:hAnsi="Times New Roman;Times;Serif"/>
          <w:b w:val="false"/>
          <w:i w:val="false"/>
          <w:caps w:val="false"/>
          <w:smallCaps w:val="false"/>
          <w:sz w:val="20"/>
        </w:rPr>
        <w:t>), the Trustee will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or willful misconduct on its part, the Trustee may, without investigation, conclusively rely, as to the truth of the statements and the correctness of the opinions expressed therein, upon Officer’s Certificates or Opinions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Counsel that are provided to the Trustee and conform to the requirements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Trustee will examine the certificates and opinions to determine whether or not they conform to the requirements of this Indenture (but need not confirm or investigate the accuracy of mathematical calculations or other facts stated therein).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liabilities for its negligence or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paragraph will not limit the effect of ‎</w:t>
      </w:r>
      <w:r>
        <w:rPr>
          <w:rFonts w:ascii="Times New Roman;Times;Serif" w:hAnsi="Times New Roman;Times;Serif"/>
          <w:b/>
          <w:i w:val="false"/>
          <w:caps w:val="false"/>
          <w:smallCaps w:val="false"/>
          <w:sz w:val="20"/>
        </w:rPr>
        <w:t>Section 10.01(B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will not be liable for any error of judgment made in good faith by a Responsible Officer, unless it is proved that the Trustee was negligent in ascertaining the pertinent facts;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will not be liable with respect to any action it takes or omits to take in good faith in accordance with a direction received by it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7.06.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provision of this Indenture will require the Trustee to expend or risk its own funds or incur any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will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will not be liable in its individual capacity for the obligations evidenced by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provision of this Indenture that in any way relates to the Trustee (including any provision that affects the liability of, or affords protection to, the Trustee) is subject to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10.01, regardless of whether such provision so expressly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10.02. Rights of the Trustee.</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any document that it believes to be genuine and signed or presented by the proper Person, and the Trustee need not investigate any fact or matter stated in such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and will not be responsible for the misconduct or negligence of any such agent appointed with due 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will not be liable for any action it takes or omits to take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that it believes to be authorized or within the rights or powers vested in it by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specifically provided in this Indenture, any demand, request, direction or notice from the Company will be sufficient if signed by an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will not be responsible or liable for any punitive, special, indirect or consequential loss or damage (including lost profits), even if the Trustee has been advised of the likelihood of such loss or damage and regardless of the form of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permissive rights of the Trustee set forth in this Indenture will not be construed as duties imposed on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will not be required to give any bond or surety in respect of the execution or performance of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Unless a Responsible Officer of the Trustee has received notice from the Company that Additional Interest or Special Interest is owing or accruing, on the Notes, the Trustee may assume that no Additional Interest or Special Interest, as applicable, is payable or accruing.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rights, privileges, protections, immunities and benefits given to the Trustee, including its right to be indemnified, are extended to, and will be enforceable by, the Trustee in each of its capacities under this Indenture, including as Note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will not be charged with knowledge of any document or agreement other than this Indenture and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10.03. Individual Rights of the Trustee.</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10.04. Trustee’s Disclaimer.</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10.05. Notice of Defaults.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Default or Event of Default occurs and is continuing and is actually known to a Responsible Officer of the Trustee, then the Trustee will send Holders a notice of such Default or Event of Default within ninety (90) days after it occurs or, if it is not actually known to a Responsible Officer of the Trustee at such time, promptly (and in any event within ten (10) Business Days) after it becomes actually known to a Responsible Officer of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in the case of a Default or Event of Default in the payment of the principal of, or interest on, any Note, or a default in the payment or delivery of the Conversion Consideration, the Trustee may withhold such notice if and for so long as it in good faith determines that withholding such notice is in the interests of the Holders. The Trustee will not be deemed to have notice or be charged with knowledge of any Default or Event of Default unless written notice thereof has been received by a Responsible Officer, and such notice references the Notes and this Indenture and states on its face that a Default or Event of Default has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10.06. Compensation and Indemnity.</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from time to time, pay the Trustee reasonable compensation for its acceptance of this Indenture and services under this Indenture, as separately agreed by the Company and the Trustee.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indemnify the Trustee (in each of its capacities under this Indenture) and its directors, officers, employees and agents, in their capacity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10.06) and defending itself against any claim (whether asserted by the Company, any Holder or any other Person) or liability in connection with the exercise or performance of any of its powers or duties under this Indenture, except to the extent any such loss, liability or expense is attributable to its negligence or willful misconduct, as determined by a final decision of a court of competent jurisdiction. The Trustee will promptly notify the Company of any claim for which it may seek indemnity, but the Trustee’s failure to so notify the Company will not relieve the Company of its obligations under this ‎</w:t>
      </w:r>
      <w:r>
        <w:rPr>
          <w:rFonts w:ascii="Times New Roman;Times;Serif" w:hAnsi="Times New Roman;Times;Serif"/>
          <w:b/>
          <w:i w:val="false"/>
          <w:caps w:val="false"/>
          <w:smallCaps w:val="false"/>
          <w:sz w:val="20"/>
        </w:rPr>
        <w:t>Section 10.06(B</w:t>
      </w:r>
      <w:r>
        <w:rPr>
          <w:rFonts w:ascii="Times New Roman;Times;Serif" w:hAnsi="Times New Roman;Times;Serif"/>
          <w:b w:val="false"/>
          <w:i w:val="false"/>
          <w:caps w:val="false"/>
          <w:smallCaps w:val="false"/>
          <w:sz w:val="20"/>
        </w:rPr>
        <w:t>), except to the extent the Company is materially prejudiced by such failure.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obligations of the Company under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10.06 will survive the resignation or removal of the Trustee and the discharge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secure the Company’s payment obligations in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10.06, the Trustee will have a lien prior to the Notes on all money or property held or collected by the Trustee, except that held in trust to pay principal of, or interest on, particular Notes, which lien will survive the discharge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Trustee incurs expenses or renders services after an Event of Default pursuant to </w:t>
      </w:r>
      <w:r>
        <w:rPr>
          <w:rFonts w:ascii="Times New Roman;Times;Serif" w:hAnsi="Times New Roman;Times;Serif"/>
          <w:b/>
          <w:i w:val="false"/>
          <w:caps w:val="false"/>
          <w:smallCaps w:val="false"/>
          <w:sz w:val="20"/>
        </w:rPr>
        <w:t>clause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(viii</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(ix</w:t>
      </w:r>
      <w:r>
        <w:rPr>
          <w:rFonts w:ascii="Times New Roman;Times;Serif" w:hAnsi="Times New Roman;Times;Serif"/>
          <w:b w:val="false"/>
          <w:i w:val="false"/>
          <w:caps w:val="false"/>
          <w:smallCaps w:val="false"/>
          <w:sz w:val="20"/>
        </w:rPr>
        <w:t>)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occurs, then such expenses and the compensation for such services (including the fees and expenses of its agents and counsel) are intended to constitute expenses of administration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10.07. Replacement of the Trustee.</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in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10.07, a resignation or removal of the Trustee, and the appointment of a successor Trustee, will become effective only upon such successor Trustee’s acceptance of appointment as provided in this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fails to comply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is adjudged to be bankrupt or insolvent or an order for relief is entered with respect to the Trustee under any Bankruptcy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custodian or public officer takes charge of the Trustee or its property;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Trustee becomes incapable of acting.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successor Trustee does not take office within sixty (60) days after the retiring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resigns or is removed, then the retiring Trustee, the Company or the Holders of at least ten percent (10%) in aggregate principal amount of the Notes then outstanding may petition any court of competent jurisdiction for the appointment of a successor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Trustee, after written request by a Holder of at least six (6) months, fails to comply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10.09, then such Holder may petition any court of competent jurisdiction for the removal of the Trustee and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Times;Serif" w:hAnsi="Times New Roman;Times;Serif"/>
          <w:b/>
          <w:i w:val="false"/>
          <w:caps w:val="false"/>
          <w:smallCaps w:val="false"/>
          <w:sz w:val="20"/>
        </w:rPr>
        <w:t>Section 10.06(D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10.08. Successor Trustee by Merger, Etc.</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merges or converts into, or transfers all or substantially all of its corporate trust business to, another entity, then such entity will become the successor Trustee without any further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10.09. Eligibility; Disqualification.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   Miscellaneous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11.01. Notices.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 Pharmaceuticals, Inc.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Main Street West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Baudette, Minnesota 56623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Lexington Avenue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Mark M. Mendez</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Side Flats St. Paul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Livingston Avenue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Saint Paul, Minnesota 55107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 Bonfig (ANI Pharmaceuticals, Inc. Administrator)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preceding paragraph, notices to the Trustee or any Note Agent must be in writing and will be deemed to have been given upon actual receipt by the Trustee or such Note Agent,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notice to the other, may designate additional or different addresses (including facsimile numbers and electronic addresses) for subsequent notices or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next day delivery, to its address shown on the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notice or communication to a Holder of a Global Note will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sent in the manner provided above within the time prescribed, it will be deemed to have been duly given, whether or not the addressee receives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(B) whenever any provision of this Indenture requires a party to send notice to more than one receiving party, and each receiving party is the same Person acting in different capacities, then only one such notice need be sent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11.02. Delivery of Officer’s Certificate and Opinion of Counsel as to Conditions Precedent.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(other than the initial authentication of Notes under this Indenture), the Company will furnish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that complies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11.03 and states that, in the opinion of the signatory thereto, all conditions precedent and covenants, if any, provided for in this Indenture relating to such action have been satisfied;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that complies with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11.03 and states that, in the opinion of such counsel, all such conditions precedent and covenants, if any,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11.03. Statements Required in Officer’s Certificate and Opinion of Counsel.</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Officer’s Certificate (other than an Officer’s Certificate pursuant to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3.05) or Opinion of Counsel with respect to compliance with a covenant or condition provided for in this Indenture will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signatory thereto has read such covenant or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therein are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signatory, he, she or it has made such examination or investigation as is necessary to enable him, her or it to express an informed opinion as to whether or not such covenant or condition has been satisfied;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in the opinion of such signatory, such covenant or condition has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11.04. Rules by the Trustee, the Registrar, the Paying Agent and the Conversion Agent.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at a meeting of Holders. Each of the Registrar, the Paying Agent and the Conversion Agent may make reasonable rules and set reasonable requirements for its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11.05. No Personal Liability of Directors, Officers, Employees and Stockholders.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11.06. Governing Law; Waiver of Jury Trial.</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11.07. Submission to Jurisdiction.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Times;Serif" w:hAnsi="Times New Roman;Times;Serif"/>
          <w:b/>
          <w:i w:val="false"/>
          <w:caps w:val="false"/>
          <w:smallCaps w:val="false"/>
          <w:sz w:val="20"/>
        </w:rPr>
        <w:t xml:space="preserve">Section </w:t>
      </w:r>
      <w:r>
        <w:rPr>
          <w:rFonts w:ascii="Times New Roman;Times;Serif" w:hAnsi="Times New Roman;Times;Serif"/>
          <w:b w:val="false"/>
          <w:i w:val="false"/>
          <w:caps w:val="false"/>
          <w:smallCaps w:val="false"/>
          <w:sz w:val="20"/>
        </w:rPr>
        <w:t>11.01 will be effective service of process for any such suit, action or proceeding brought in any such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11.08. No Adverse Interpretation of Other Agreements.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11.09. Successors.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Notes will bind its successors. All agreements of the Trustee in this Indenture will bind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11.10. Force Majeure.</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11.11. U.S.A. PATRIOT Act.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11.12. Calculations.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Daily VWAP, the Trading Price, accrued interest on the Notes, the Redemption Price, the Fundamental Change Repurchase Price and the Conversion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request therefor. For the avoidance of doubt, the Trustee will not be obligated to make or confirm any calculations or other amounts called for under this Indenture or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11.13. Severability.</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or the Notes is invalid, illegal or unenforceable, then the validity, legality and enforceability of the remaining provisions of this Indenture or the Notes will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11.14. Counterparts.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11.15. Table of Contents, Headings, Etc.</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11.16. Withholding Taxes.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Note agrees, and each beneficial owner of an interest in a Global Note, by its acquisition of such interest, is deemed to agree, that if the Company or other applicable withholding agent pays withholding taxes or backup withholding on behalf of such Holder or beneficial owner as a result of an adjustment or the non-occurrence of an adjustment to the Conversion Rate, then the Company or such withholding agent, as applicable, may, at its option, set off such payments against payments of cash or the delivery of other Conversion Consideration on such Note, any payments on the Common Stock or sales proceeds received by, or other funds or assets of, such Holder or the beneficial owner of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to this Indenture have caused this Indenture to be duly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320"/>
        <w:gridCol w:w="5210"/>
      </w:tblGrid>
      <w:tr>
        <w:trPr/>
        <w:tc>
          <w:tcPr>
            <w:tcW w:w="75" w:type="dxa"/>
            <w:tcBorders/>
            <w:vAlign w:val="center"/>
          </w:tcPr>
          <w:p>
            <w:pPr>
              <w:pStyle w:val="TableContents"/>
              <w:bidi w:val="0"/>
              <w:spacing w:before="0" w:after="283"/>
              <w:jc w:val="left"/>
              <w:rPr/>
            </w:pPr>
            <w:r>
              <w:rPr/>
              <w:t> </w:t>
            </w:r>
          </w:p>
        </w:tc>
        <w:tc>
          <w:tcPr>
            <w:tcW w:w="5530" w:type="dxa"/>
            <w:gridSpan w:val="2"/>
            <w:tcBorders/>
            <w:vAlign w:val="center"/>
          </w:tcPr>
          <w:p>
            <w:pPr>
              <w:pStyle w:val="TableContents"/>
              <w:bidi w:val="0"/>
              <w:spacing w:before="0" w:after="283"/>
              <w:jc w:val="both"/>
              <w:rPr>
                <w:smallCaps/>
                <w:sz w:val="20"/>
              </w:rPr>
            </w:pPr>
            <w:r>
              <w:rPr>
                <w:smallCaps/>
                <w:sz w:val="20"/>
              </w:rPr>
              <w:t>ANI Pharmaceuticals,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2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2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sz w:val="20"/>
              </w:rPr>
            </w:pPr>
            <w:r>
              <w:rPr>
                <w:sz w:val="20"/>
              </w:rPr>
              <w:t>By:</w:t>
            </w:r>
          </w:p>
        </w:tc>
        <w:tc>
          <w:tcPr>
            <w:tcW w:w="5210" w:type="dxa"/>
            <w:tcBorders>
              <w:bottom w:val="single" w:sz="8" w:space="0" w:color="000000"/>
            </w:tcBorders>
            <w:tcMar>
              <w:bottom w:w="28" w:type="dxa"/>
            </w:tcMar>
            <w:vAlign w:val="center"/>
          </w:tcPr>
          <w:p>
            <w:pPr>
              <w:pStyle w:val="TableContents"/>
              <w:bidi w:val="0"/>
              <w:spacing w:before="0" w:after="283"/>
              <w:jc w:val="both"/>
              <w:rPr/>
            </w:pPr>
            <w:r>
              <w:rPr/>
              <w:t>/s/ Stephen P. Carey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210" w:type="dxa"/>
            <w:tcBorders/>
            <w:vAlign w:val="center"/>
          </w:tcPr>
          <w:p>
            <w:pPr>
              <w:pStyle w:val="TableContents"/>
              <w:bidi w:val="0"/>
              <w:spacing w:before="0" w:after="283"/>
              <w:jc w:val="both"/>
              <w:rPr/>
            </w:pPr>
            <w:r>
              <w:rPr>
                <w:sz w:val="20"/>
              </w:rPr>
              <w:t>Name:</w:t>
            </w:r>
            <w:r>
              <w:rPr/>
              <w:t xml:space="preserve"> Stephen P. Carey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210" w:type="dxa"/>
            <w:tcBorders/>
            <w:vAlign w:val="center"/>
          </w:tcPr>
          <w:p>
            <w:pPr>
              <w:pStyle w:val="TableContents"/>
              <w:bidi w:val="0"/>
              <w:spacing w:before="0" w:after="283"/>
              <w:jc w:val="both"/>
              <w:rPr>
                <w:sz w:val="20"/>
              </w:rPr>
            </w:pPr>
            <w:r>
              <w:rPr>
                <w:sz w:val="20"/>
              </w:rPr>
              <w:t>Title: Senior Vice President Finance and Chief Financial Officer</w:t>
            </w:r>
          </w:p>
        </w:tc>
      </w:tr>
    </w:tbl>
    <w:p>
      <w:pPr>
        <w:pStyle w:val="TextBody"/>
        <w:bidi w:val="0"/>
        <w:spacing w:before="0" w:after="283"/>
        <w:jc w:val="left"/>
        <w:rPr/>
      </w:pPr>
      <w:r>
        <w:rPr/>
        <w:t> </w:t>
      </w:r>
    </w:p>
    <w:tbl>
      <w:tblPr>
        <w:tblW w:w="5509" w:type="dxa"/>
        <w:jc w:val="left"/>
        <w:tblInd w:w="0" w:type="dxa"/>
        <w:tblLayout w:type="fixed"/>
        <w:tblCellMar>
          <w:top w:w="0" w:type="dxa"/>
          <w:left w:w="0" w:type="dxa"/>
          <w:bottom w:w="0" w:type="dxa"/>
          <w:right w:w="0" w:type="dxa"/>
        </w:tblCellMar>
      </w:tblPr>
      <w:tblGrid>
        <w:gridCol w:w="75"/>
        <w:gridCol w:w="754"/>
        <w:gridCol w:w="4680"/>
      </w:tblGrid>
      <w:tr>
        <w:trPr/>
        <w:tc>
          <w:tcPr>
            <w:tcW w:w="75" w:type="dxa"/>
            <w:tcBorders/>
            <w:vAlign w:val="center"/>
          </w:tcPr>
          <w:p>
            <w:pPr>
              <w:pStyle w:val="TableContents"/>
              <w:bidi w:val="0"/>
              <w:spacing w:before="0" w:after="283"/>
              <w:jc w:val="left"/>
              <w:rPr/>
            </w:pPr>
            <w:r>
              <w:rPr/>
              <w:t> </w:t>
            </w:r>
          </w:p>
        </w:tc>
        <w:tc>
          <w:tcPr>
            <w:tcW w:w="5434" w:type="dxa"/>
            <w:gridSpan w:val="2"/>
            <w:tcBorders/>
            <w:vAlign w:val="center"/>
          </w:tcPr>
          <w:p>
            <w:pPr>
              <w:pStyle w:val="TableContents"/>
              <w:bidi w:val="0"/>
              <w:spacing w:before="0" w:after="283"/>
              <w:jc w:val="both"/>
              <w:rPr/>
            </w:pPr>
            <w:r>
              <w:rPr>
                <w:smallCaps/>
                <w:sz w:val="20"/>
              </w:rPr>
              <w:t>U.S. Bank Trust Company, National Association</w:t>
            </w:r>
            <w:r>
              <w:rPr>
                <w:sz w:val="20"/>
              </w:rPr>
              <w:t>, as Trustee</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both"/>
              <w:rPr/>
            </w:pPr>
            <w:r>
              <w:rPr/>
              <w:t> </w:t>
            </w:r>
          </w:p>
        </w:tc>
        <w:tc>
          <w:tcPr>
            <w:tcW w:w="46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both"/>
              <w:rPr/>
            </w:pPr>
            <w:r>
              <w:rPr/>
              <w:t> </w:t>
            </w:r>
          </w:p>
        </w:tc>
        <w:tc>
          <w:tcPr>
            <w:tcW w:w="46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both"/>
              <w:rPr>
                <w:sz w:val="20"/>
              </w:rPr>
            </w:pPr>
            <w:r>
              <w:rPr>
                <w:sz w:val="20"/>
              </w:rPr>
              <w:t>By:</w:t>
            </w:r>
          </w:p>
        </w:tc>
        <w:tc>
          <w:tcPr>
            <w:tcW w:w="4680" w:type="dxa"/>
            <w:tcBorders>
              <w:bottom w:val="single" w:sz="8" w:space="0" w:color="000000"/>
            </w:tcBorders>
            <w:tcMar>
              <w:bottom w:w="28" w:type="dxa"/>
            </w:tcMar>
            <w:vAlign w:val="center"/>
          </w:tcPr>
          <w:p>
            <w:pPr>
              <w:pStyle w:val="TableContents"/>
              <w:bidi w:val="0"/>
              <w:spacing w:before="0" w:after="283"/>
              <w:jc w:val="both"/>
              <w:rPr/>
            </w:pPr>
            <w:r>
              <w:rPr/>
              <w:t>/s/ Brandon Bonfig</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both"/>
              <w:rPr/>
            </w:pPr>
            <w:r>
              <w:rPr/>
              <w:t> </w:t>
            </w:r>
          </w:p>
        </w:tc>
        <w:tc>
          <w:tcPr>
            <w:tcW w:w="4680" w:type="dxa"/>
            <w:tcBorders/>
            <w:vAlign w:val="center"/>
          </w:tcPr>
          <w:p>
            <w:pPr>
              <w:pStyle w:val="TableContents"/>
              <w:bidi w:val="0"/>
              <w:spacing w:before="0" w:after="283"/>
              <w:jc w:val="both"/>
              <w:rPr/>
            </w:pPr>
            <w:r>
              <w:rPr>
                <w:sz w:val="20"/>
              </w:rPr>
              <w:t>Name: Brandon Bonfig</w:t>
            </w:r>
            <w:r>
              <w:rPr/>
              <w:t xml:space="preserve"> </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both"/>
              <w:rPr/>
            </w:pPr>
            <w:r>
              <w:rPr/>
              <w:t> </w:t>
            </w:r>
          </w:p>
        </w:tc>
        <w:tc>
          <w:tcPr>
            <w:tcW w:w="4680" w:type="dxa"/>
            <w:tcBorders/>
            <w:vAlign w:val="center"/>
          </w:tcPr>
          <w:p>
            <w:pPr>
              <w:pStyle w:val="TableContents"/>
              <w:bidi w:val="0"/>
              <w:spacing w:before="0" w:after="283"/>
              <w:jc w:val="both"/>
              <w:rPr/>
            </w:pPr>
            <w:r>
              <w:rPr>
                <w:sz w:val="20"/>
              </w:rPr>
              <w:t>Title: Vice President</w:t>
            </w:r>
            <w:r>
              <w:rPr/>
              <w:t xml:space="preserve"> </w:t>
            </w:r>
          </w:p>
        </w:tc>
      </w:tr>
    </w:tbl>
    <w:p>
      <w:pPr>
        <w:pStyle w:val="TextBody"/>
        <w:bidi w:val="0"/>
        <w:spacing w:before="0" w:after="283"/>
        <w:jc w:val="left"/>
        <w:rPr/>
      </w:pPr>
      <w:r>
        <w:rPr/>
        <w:t> </w:t>
      </w:r>
    </w:p>
    <w:p>
      <w:pPr>
        <w:pStyle w:val="TextBody"/>
        <w:bidi w:val="0"/>
        <w:jc w:val="center"/>
        <w:rPr/>
      </w:pPr>
      <w:r>
        <w:rPr/>
        <w:t>[Signature Page to Indenture]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Global Note Legend, if applicable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Restricted Note Legend, if applicable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Non-Affiliate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ANI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 Convertible Senior Note due 2029</w:t>
      </w:r>
    </w:p>
    <w:p>
      <w:pPr>
        <w:pStyle w:val="TextBody"/>
        <w:bidi w:val="0"/>
        <w:spacing w:before="0" w:after="0"/>
        <w:ind w:left="0" w:right="0" w:hanging="0"/>
        <w:jc w:val="center"/>
        <w:rPr>
          <w:caps w:val="false"/>
          <w:smallCaps w:val="false"/>
        </w:rPr>
      </w:pPr>
      <w:r>
        <w:rPr>
          <w:caps w:val="false"/>
          <w:smallCaps w:val="false"/>
        </w:rPr>
        <w:t> </w:t>
      </w:r>
    </w:p>
    <w:tbl>
      <w:tblPr>
        <w:tblW w:w="7980" w:type="dxa"/>
        <w:jc w:val="left"/>
        <w:tblInd w:w="0" w:type="dxa"/>
        <w:tblLayout w:type="fixed"/>
        <w:tblCellMar>
          <w:top w:w="0" w:type="dxa"/>
          <w:left w:w="0" w:type="dxa"/>
          <w:bottom w:w="0" w:type="dxa"/>
          <w:right w:w="0" w:type="dxa"/>
        </w:tblCellMar>
      </w:tblPr>
      <w:tblGrid>
        <w:gridCol w:w="1205"/>
        <w:gridCol w:w="4715"/>
        <w:gridCol w:w="60"/>
        <w:gridCol w:w="2000"/>
      </w:tblGrid>
      <w:tr>
        <w:trPr/>
        <w:tc>
          <w:tcPr>
            <w:tcW w:w="12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CUSIP No.:</w:t>
            </w:r>
          </w:p>
        </w:tc>
        <w:tc>
          <w:tcPr>
            <w:tcW w:w="4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[___][</w:t>
            </w:r>
            <w:r>
              <w:rPr>
                <w:rFonts w:ascii="Times New Roman;Times;Serif" w:hAnsi="Times New Roman;Times;Serif"/>
                <w:i/>
              </w:rPr>
              <w:t>Insert for a “restricted” CUSIP number</w:t>
            </w:r>
            <w:r>
              <w:rPr>
                <w:rFonts w:ascii="Times New Roman;Times;Serif" w:hAnsi="Times New Roman;Times;Serif"/>
              </w:rPr>
              <w:t xml:space="preserve">: </w:t>
            </w:r>
            <w:r>
              <w:rPr>
                <w:rFonts w:ascii="Times New Roman;Times;Serif" w:hAnsi="Times New Roman;Times;Serif"/>
                <w:position w:val="8"/>
                <w:sz w:val="19"/>
                <w:sz w:val="24"/>
              </w:rPr>
              <w:t>*</w:t>
            </w: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Certificate No. [___]</w:t>
            </w:r>
          </w:p>
        </w:tc>
      </w:tr>
      <w:tr>
        <w:trPr/>
        <w:tc>
          <w:tcPr>
            <w:tcW w:w="12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ISIN No.:</w:t>
            </w:r>
          </w:p>
        </w:tc>
        <w:tc>
          <w:tcPr>
            <w:tcW w:w="4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[___][</w:t>
            </w:r>
            <w:r>
              <w:rPr>
                <w:rFonts w:ascii="Times New Roman;Times;Serif" w:hAnsi="Times New Roman;Times;Serif"/>
                <w:i/>
              </w:rPr>
              <w:t>Insert for a “restricted” ISIN number</w:t>
            </w:r>
            <w:r>
              <w:rPr>
                <w:rFonts w:ascii="Times New Roman;Times;Serif" w:hAnsi="Times New Roman;Times;Serif"/>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 Pharmaceuticals, Inc., a Delaware corporation, for value received, promises to pay to [Cede &amp; Co.], or its registered assigns, the principal sum of [___] dollars ($[___]) [(as revised by the attached Schedule of Exchanges of Interests in the Global Note)]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on September 1, 2029 and to pay interest thereon, as provided in the Indenture referred to below, until the principal and all accrued and unpaid interest are paid or duly provided for.</w:t>
      </w:r>
    </w:p>
    <w:p>
      <w:pPr>
        <w:pStyle w:val="TextBody"/>
        <w:bidi w:val="0"/>
        <w:spacing w:before="0" w:after="0"/>
        <w:ind w:left="0" w:right="0" w:firstLine="72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2270"/>
        <w:gridCol w:w="6005"/>
      </w:tblGrid>
      <w:tr>
        <w:trPr/>
        <w:tc>
          <w:tcPr>
            <w:tcW w:w="22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Payment Dates:</w:t>
            </w:r>
          </w:p>
        </w:tc>
        <w:tc>
          <w:tcPr>
            <w:tcW w:w="6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1 and September 1 of each year, commencing on [</w:t>
            </w:r>
            <w:r>
              <w:rPr>
                <w:rFonts w:ascii="Times New Roman;Times;Serif" w:hAnsi="Times New Roman;Times;Serif"/>
                <w:i/>
              </w:rPr>
              <w:t>date</w:t>
            </w:r>
            <w:r>
              <w:rPr>
                <w:rFonts w:ascii="Times New Roman;Times;Serif" w:hAnsi="Times New Roman;Times;Serif"/>
              </w:rPr>
              <w:t>].</w:t>
            </w:r>
          </w:p>
        </w:tc>
      </w:tr>
      <w:tr>
        <w:trPr/>
        <w:tc>
          <w:tcPr>
            <w:tcW w:w="2270" w:type="dxa"/>
            <w:tcBorders/>
            <w:vAlign w:val="center"/>
          </w:tcPr>
          <w:p>
            <w:pPr>
              <w:pStyle w:val="TableContents"/>
              <w:bidi w:val="0"/>
              <w:spacing w:before="0" w:after="283"/>
              <w:jc w:val="both"/>
              <w:rPr/>
            </w:pPr>
            <w:r>
              <w:rPr/>
              <w:t> </w:t>
            </w:r>
          </w:p>
        </w:tc>
        <w:tc>
          <w:tcPr>
            <w:tcW w:w="6005" w:type="dxa"/>
            <w:tcBorders/>
            <w:vAlign w:val="center"/>
          </w:tcPr>
          <w:p>
            <w:pPr>
              <w:pStyle w:val="TableContents"/>
              <w:bidi w:val="0"/>
              <w:spacing w:before="0" w:after="283"/>
              <w:jc w:val="both"/>
              <w:rPr/>
            </w:pPr>
            <w:r>
              <w:rPr/>
              <w:t> </w:t>
            </w:r>
          </w:p>
        </w:tc>
      </w:tr>
      <w:tr>
        <w:trPr/>
        <w:tc>
          <w:tcPr>
            <w:tcW w:w="22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Regular Record Dates:</w:t>
            </w:r>
          </w:p>
        </w:tc>
        <w:tc>
          <w:tcPr>
            <w:tcW w:w="6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February 15 and August 15.</w:t>
            </w:r>
          </w:p>
        </w:tc>
      </w:tr>
    </w:tbl>
    <w:p>
      <w:pPr>
        <w:pStyle w:val="TextBody"/>
        <w:bidi w:val="0"/>
        <w:spacing w:before="0" w:after="0"/>
        <w:ind w:left="2880" w:right="0" w:hanging="28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Note are set forth on the other side of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w:t>
            </w:r>
          </w:p>
        </w:tc>
        <w:tc>
          <w:tcPr>
            <w:tcW w:w="10081" w:type="dxa"/>
            <w:tcBorders/>
            <w:vAlign w:val="center"/>
          </w:tcPr>
          <w:p>
            <w:pPr>
              <w:pStyle w:val="TableContents"/>
              <w:bidi w:val="0"/>
              <w:spacing w:before="0" w:after="283"/>
              <w:jc w:val="both"/>
              <w:rPr/>
            </w:pPr>
            <w:r>
              <w:rPr/>
              <w:t>This Note will be deemed to be identified by CUSIP No. [___] and ISIN No. [___] from and after such time when the Company delivers, pursuant to ‎Section 2.12 of the within-mentioned Indenture, written notice to the Trustee of the deemed removal of the Restricted Note Legend affixed to this Note.</w:t>
            </w:r>
          </w:p>
        </w:tc>
      </w:tr>
    </w:tbl>
    <w:tbl>
      <w:tblPr>
        <w:tblW w:w="5000" w:type="pct"/>
        <w:jc w:val="left"/>
        <w:tblInd w:w="0" w:type="dxa"/>
        <w:tblLayout w:type="fixed"/>
        <w:tblCellMar>
          <w:top w:w="0" w:type="dxa"/>
          <w:left w:w="0" w:type="dxa"/>
          <w:bottom w:w="0" w:type="dxa"/>
          <w:right w:w="0" w:type="dxa"/>
        </w:tblCellMar>
      </w:tblPr>
      <w:tblGrid>
        <w:gridCol w:w="80"/>
        <w:gridCol w:w="266"/>
        <w:gridCol w:w="9859"/>
      </w:tblGrid>
      <w:tr>
        <w:trPr/>
        <w:tc>
          <w:tcPr>
            <w:tcW w:w="8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osition w:val="8"/>
                <w:sz w:val="19"/>
              </w:rPr>
            </w:pPr>
            <w:r>
              <w:rPr>
                <w:position w:val="8"/>
                <w:sz w:val="19"/>
              </w:rPr>
              <w:t>†</w:t>
            </w:r>
          </w:p>
        </w:tc>
        <w:tc>
          <w:tcPr>
            <w:tcW w:w="9859" w:type="dxa"/>
            <w:tcBorders/>
            <w:vAlign w:val="center"/>
          </w:tcPr>
          <w:p>
            <w:pPr>
              <w:pStyle w:val="TableContents"/>
              <w:bidi w:val="0"/>
              <w:spacing w:before="0" w:after="283"/>
              <w:jc w:val="both"/>
              <w:rPr/>
            </w:pPr>
            <w:r>
              <w:rPr/>
              <w:t>Insert bracketed language for Global Notes only.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ANI Pharmaceuticals, Inc. has caused this instrument to be duly executed as of the date set forth below.</w:t>
      </w:r>
    </w:p>
    <w:p>
      <w:pPr>
        <w:pStyle w:val="TextBody"/>
        <w:bidi w:val="0"/>
        <w:spacing w:before="0" w:after="0"/>
        <w:ind w:left="0" w:right="0" w:firstLine="720"/>
        <w:jc w:val="both"/>
        <w:rPr>
          <w:caps w:val="false"/>
          <w:smallCaps w:val="false"/>
        </w:rPr>
      </w:pPr>
      <w:r>
        <w:rPr>
          <w:caps w:val="false"/>
          <w:smallCaps w:val="false"/>
        </w:rPr>
        <w:t> </w:t>
      </w:r>
    </w:p>
    <w:tbl>
      <w:tblPr>
        <w:tblW w:w="3054" w:type="dxa"/>
        <w:jc w:val="left"/>
        <w:tblInd w:w="0" w:type="dxa"/>
        <w:tblLayout w:type="fixed"/>
        <w:tblCellMar>
          <w:top w:w="0" w:type="dxa"/>
          <w:left w:w="0" w:type="dxa"/>
          <w:bottom w:w="0" w:type="dxa"/>
          <w:right w:w="0" w:type="dxa"/>
        </w:tblCellMar>
      </w:tblPr>
      <w:tblGrid>
        <w:gridCol w:w="470"/>
        <w:gridCol w:w="60"/>
        <w:gridCol w:w="60"/>
        <w:gridCol w:w="780"/>
        <w:gridCol w:w="1457"/>
        <w:gridCol w:w="227"/>
      </w:tblGrid>
      <w:tr>
        <w:trPr/>
        <w:tc>
          <w:tcPr>
            <w:tcW w:w="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464" w:type="dxa"/>
            <w:gridSpan w:val="3"/>
            <w:tcBorders/>
            <w:vAlign w:val="center"/>
          </w:tcPr>
          <w:p>
            <w:pPr>
              <w:pStyle w:val="TableContents"/>
              <w:bidi w:val="0"/>
              <w:spacing w:before="0" w:after="283"/>
              <w:jc w:val="both"/>
              <w:rPr>
                <w:smallCaps/>
                <w:sz w:val="20"/>
              </w:rPr>
            </w:pPr>
            <w:r>
              <w:rPr>
                <w:smallCaps/>
                <w:sz w:val="20"/>
              </w:rPr>
              <w:t>ANI Pharmaceuticals, Inc.</w:t>
            </w:r>
          </w:p>
        </w:tc>
      </w:tr>
      <w:tr>
        <w:trPr/>
        <w:tc>
          <w:tcPr>
            <w:tcW w:w="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464" w:type="dxa"/>
            <w:gridSpan w:val="3"/>
            <w:tcBorders/>
            <w:vAlign w:val="center"/>
          </w:tcPr>
          <w:p>
            <w:pPr>
              <w:pStyle w:val="TableContents"/>
              <w:bidi w:val="0"/>
              <w:spacing w:before="0" w:after="283"/>
              <w:jc w:val="both"/>
              <w:rPr/>
            </w:pPr>
            <w:r>
              <w:rPr/>
              <w:t> </w:t>
            </w:r>
          </w:p>
        </w:tc>
      </w:tr>
      <w:tr>
        <w:trPr/>
        <w:tc>
          <w:tcPr>
            <w:tcW w:w="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464" w:type="dxa"/>
            <w:gridSpan w:val="3"/>
            <w:tcBorders/>
            <w:vAlign w:val="center"/>
          </w:tcPr>
          <w:p>
            <w:pPr>
              <w:pStyle w:val="TableContents"/>
              <w:bidi w:val="0"/>
              <w:spacing w:before="0" w:after="283"/>
              <w:jc w:val="both"/>
              <w:rPr/>
            </w:pPr>
            <w:r>
              <w:rPr/>
              <w:t> </w:t>
            </w:r>
          </w:p>
        </w:tc>
      </w:tr>
      <w:tr>
        <w:trPr/>
        <w:tc>
          <w:tcPr>
            <w:tcW w:w="470" w:type="dxa"/>
            <w:tcBorders/>
            <w:vAlign w:val="center"/>
          </w:tcPr>
          <w:p>
            <w:pPr>
              <w:pStyle w:val="TableContents"/>
              <w:bidi w:val="0"/>
              <w:spacing w:before="0" w:after="283"/>
              <w:jc w:val="both"/>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both"/>
              <w:rPr>
                <w:sz w:val="20"/>
              </w:rPr>
            </w:pPr>
            <w:r>
              <w:rPr>
                <w:sz w:val="20"/>
              </w:rPr>
              <w:t>By:</w:t>
            </w:r>
          </w:p>
        </w:tc>
        <w:tc>
          <w:tcPr>
            <w:tcW w:w="1684"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both"/>
              <w:rPr/>
            </w:pPr>
            <w:r>
              <w:rPr/>
              <w:t> </w:t>
            </w:r>
          </w:p>
        </w:tc>
        <w:tc>
          <w:tcPr>
            <w:tcW w:w="1457" w:type="dxa"/>
            <w:tcBorders/>
            <w:vAlign w:val="center"/>
          </w:tcPr>
          <w:p>
            <w:pPr>
              <w:pStyle w:val="TableContents"/>
              <w:bidi w:val="0"/>
              <w:spacing w:before="0" w:after="283"/>
              <w:jc w:val="both"/>
              <w:rPr>
                <w:sz w:val="20"/>
              </w:rPr>
            </w:pPr>
            <w:r>
              <w:rPr>
                <w:sz w:val="20"/>
              </w:rPr>
              <w:t>Name:</w:t>
            </w:r>
          </w:p>
        </w:tc>
        <w:tc>
          <w:tcPr>
            <w:tcW w:w="227" w:type="dxa"/>
            <w:tcBorders/>
            <w:vAlign w:val="center"/>
          </w:tcPr>
          <w:p>
            <w:pPr>
              <w:pStyle w:val="TableContents"/>
              <w:bidi w:val="0"/>
              <w:spacing w:before="0" w:after="283"/>
              <w:jc w:val="both"/>
              <w:rPr/>
            </w:pPr>
            <w:r>
              <w:rPr/>
              <w:t> </w:t>
            </w:r>
          </w:p>
        </w:tc>
      </w:tr>
      <w:tr>
        <w:trPr/>
        <w:tc>
          <w:tcPr>
            <w:tcW w:w="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both"/>
              <w:rPr/>
            </w:pPr>
            <w:r>
              <w:rPr/>
              <w:t> </w:t>
            </w:r>
          </w:p>
        </w:tc>
        <w:tc>
          <w:tcPr>
            <w:tcW w:w="1457" w:type="dxa"/>
            <w:tcBorders/>
            <w:vAlign w:val="center"/>
          </w:tcPr>
          <w:p>
            <w:pPr>
              <w:pStyle w:val="TableContents"/>
              <w:bidi w:val="0"/>
              <w:spacing w:before="0" w:after="283"/>
              <w:jc w:val="both"/>
              <w:rPr>
                <w:sz w:val="20"/>
              </w:rPr>
            </w:pPr>
            <w:r>
              <w:rPr>
                <w:sz w:val="20"/>
              </w:rPr>
              <w:t>Title:</w:t>
            </w:r>
          </w:p>
        </w:tc>
        <w:tc>
          <w:tcPr>
            <w:tcW w:w="227" w:type="dxa"/>
            <w:tcBorders/>
            <w:vAlign w:val="center"/>
          </w:tcPr>
          <w:p>
            <w:pPr>
              <w:pStyle w:val="TableContents"/>
              <w:bidi w:val="0"/>
              <w:spacing w:before="0" w:after="283"/>
              <w:jc w:val="both"/>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Notes referred to in the within-mentioned Indenture.</w:t>
      </w:r>
    </w:p>
    <w:p>
      <w:pPr>
        <w:pStyle w:val="TextBody"/>
        <w:bidi w:val="0"/>
        <w:spacing w:before="0" w:after="0"/>
        <w:ind w:left="0" w:right="0" w:hanging="0"/>
        <w:jc w:val="both"/>
        <w:rPr>
          <w:caps w:val="false"/>
          <w:smallCaps w:val="false"/>
        </w:rPr>
      </w:pPr>
      <w:r>
        <w:rPr>
          <w:caps w:val="false"/>
          <w:smallCaps w:val="false"/>
        </w:rPr>
        <w:t> </w:t>
      </w:r>
    </w:p>
    <w:tbl>
      <w:tblPr>
        <w:tblW w:w="2700" w:type="dxa"/>
        <w:jc w:val="left"/>
        <w:tblInd w:w="0" w:type="dxa"/>
        <w:tblLayout w:type="fixed"/>
        <w:tblCellMar>
          <w:top w:w="0" w:type="dxa"/>
          <w:left w:w="0" w:type="dxa"/>
          <w:bottom w:w="0" w:type="dxa"/>
          <w:right w:w="0" w:type="dxa"/>
        </w:tblCellMar>
      </w:tblPr>
      <w:tblGrid>
        <w:gridCol w:w="470"/>
        <w:gridCol w:w="60"/>
        <w:gridCol w:w="60"/>
        <w:gridCol w:w="320"/>
        <w:gridCol w:w="1790"/>
      </w:tblGrid>
      <w:tr>
        <w:trPr/>
        <w:tc>
          <w:tcPr>
            <w:tcW w:w="470" w:type="dxa"/>
            <w:tcBorders/>
            <w:vAlign w:val="center"/>
          </w:tcPr>
          <w:p>
            <w:pPr>
              <w:pStyle w:val="TableContents"/>
              <w:bidi w:val="0"/>
              <w:spacing w:before="0" w:after="283"/>
              <w:jc w:val="both"/>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sz w:val="20"/>
              </w:rPr>
            </w:pPr>
            <w:r>
              <w:rPr>
                <w:sz w:val="20"/>
              </w:rPr>
              <w:t>By:</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center"/>
              <w:rPr>
                <w:sz w:val="20"/>
              </w:rPr>
            </w:pPr>
            <w:r>
              <w:rPr>
                <w:sz w:val="20"/>
              </w:rPr>
              <w:t>Authorized Signatory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ANI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 Convertible Senior Note due 2029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ANI Pharmaceuticals,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designated as its 2.25% Convertible Senior Notes due 2029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all issued or to be issued pursuant to an indenture, dated as of August 13, 2024 (as the same may be amended from time to time,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U.S. Bank Trust Company, National Association, as trustee. Capitalized terms used in this Note without definition have the respective meanings ascribed to them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This Note will accrue interest at a rate and in the manner set forth in ‎Section 2.05 of the Indenture. Stated Interest on this Note will begin to accrue from, and including, [</w:t>
      </w:r>
      <w:r>
        <w:rPr>
          <w:rFonts w:ascii="Times New Roman;Times;Serif" w:hAnsi="Times New Roman;Times;Serif"/>
          <w:b w:val="false"/>
          <w:i/>
          <w:caps w:val="false"/>
          <w:smallCaps w:val="false"/>
          <w:sz w:val="20"/>
        </w:rPr>
        <w:t>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Maturity</w:t>
      </w:r>
      <w:r>
        <w:rPr>
          <w:rFonts w:ascii="Times New Roman;Times;Serif" w:hAnsi="Times New Roman;Times;Serif"/>
          <w:b w:val="false"/>
          <w:i w:val="false"/>
          <w:caps w:val="false"/>
          <w:smallCaps w:val="false"/>
          <w:sz w:val="20"/>
        </w:rPr>
        <w:t>. This Note will mature on September 1, 2029, unless earlier repurchased, redeemed or Converted.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Method of Payment</w:t>
      </w:r>
      <w:r>
        <w:rPr>
          <w:rFonts w:ascii="Times New Roman;Times;Serif" w:hAnsi="Times New Roman;Times;Serif"/>
          <w:b w:val="false"/>
          <w:i w:val="false"/>
          <w:caps w:val="false"/>
          <w:smallCaps w:val="false"/>
          <w:sz w:val="20"/>
        </w:rPr>
        <w:t>. Cash amounts due on this Note will be paid in the manner set forth in ‎Section 2.04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Persons Deemed Owners</w:t>
      </w:r>
      <w:r>
        <w:rPr>
          <w:rFonts w:ascii="Times New Roman;Times;Serif" w:hAnsi="Times New Roman;Times;Serif"/>
          <w:b w:val="false"/>
          <w:i w:val="false"/>
          <w:caps w:val="false"/>
          <w:smallCaps w:val="false"/>
          <w:sz w:val="20"/>
        </w:rPr>
        <w:t>. The Holder of this Note will be treated as the owner of this Note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Denominations; Transfers and Exchanges</w:t>
      </w:r>
      <w:r>
        <w:rPr>
          <w:rFonts w:ascii="Times New Roman;Times;Serif" w:hAnsi="Times New Roman;Times;Serif"/>
          <w:b w:val="false"/>
          <w:i w:val="false"/>
          <w:caps w:val="false"/>
          <w:smallCaps w:val="false"/>
          <w:sz w:val="20"/>
        </w:rPr>
        <w:t>.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Right of Holders to Require the Company to Repurchase Notes Upon a Fundamental Change</w:t>
      </w:r>
      <w:r>
        <w:rPr>
          <w:rFonts w:ascii="Times New Roman;Times;Serif" w:hAnsi="Times New Roman;Times;Serif"/>
          <w:b w:val="false"/>
          <w:i w:val="false"/>
          <w:caps w:val="false"/>
          <w:smallCaps w:val="false"/>
          <w:sz w:val="20"/>
        </w:rPr>
        <w:t>. If a Fundamental Change (other than an Exempted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Right of the Company to Redeem the Notes</w:t>
      </w:r>
      <w:r>
        <w:rPr>
          <w:rFonts w:ascii="Times New Roman;Times;Serif" w:hAnsi="Times New Roman;Times;Serif"/>
          <w:b w:val="false"/>
          <w:i w:val="false"/>
          <w:caps w:val="false"/>
          <w:smallCaps w:val="false"/>
          <w:sz w:val="20"/>
        </w:rPr>
        <w:t>. The Company will have the right to redeem the Notes for cash in the manner, and subject to the terms, set forth in ‎Section 4.03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The Holder of this Note may Convert this Note into Conversion Consideration in the manner, and subject to the terms, set forth in ‎Article 5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When the Company May Merge, Etc</w:t>
      </w:r>
      <w:r>
        <w:rPr>
          <w:rFonts w:ascii="Times New Roman;Times;Serif" w:hAnsi="Times New Roman;Times;Serif"/>
          <w:b w:val="false"/>
          <w:i w:val="false"/>
          <w:caps w:val="false"/>
          <w:smallCaps w:val="false"/>
          <w:sz w:val="20"/>
        </w:rPr>
        <w:t>. ‎Article 6 of the Indenture places limited restrictions on the Company’s ability to be a party to a Business Combination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Defaults and Remedies</w:t>
      </w:r>
      <w:r>
        <w:rPr>
          <w:rFonts w:ascii="Times New Roman;Times;Serif" w:hAnsi="Times New Roman;Times;Serif"/>
          <w:b w:val="false"/>
          <w:i w:val="false"/>
          <w:caps w:val="false"/>
          <w:smallCaps w:val="false"/>
          <w:sz w:val="20"/>
        </w:rPr>
        <w:t>. If an Event of Default occurs, then the principal amount of, and all accrued and unpaid interest on, all of the Notes then outstanding may (and, in certain circumstances, will automatically) become due and payable in the manner, and subject to the terms, set forth in ‎Article 7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Amendments, Supplements and Waivers</w:t>
      </w:r>
      <w:r>
        <w:rPr>
          <w:rFonts w:ascii="Times New Roman;Times;Serif" w:hAnsi="Times New Roman;Times;Serif"/>
          <w:b w:val="false"/>
          <w:i w:val="false"/>
          <w:caps w:val="false"/>
          <w:smallCaps w:val="false"/>
          <w:sz w:val="20"/>
        </w:rPr>
        <w:t>. The Company and the Trustee may amend or supplement the Indenture or the Notes or waive compliance with any provision of the Indenture or the Notes in the manner, and subject to the terms, set forth in ‎Section 7.05 and ‎Article 8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No Personal Liability of Directors, Officers, Employees and Stockholders</w:t>
      </w:r>
      <w:r>
        <w:rPr>
          <w:rFonts w:ascii="Times New Roman;Times;Serif" w:hAnsi="Times New Roman;Times;Serif"/>
          <w:b w:val="false"/>
          <w:i w:val="false"/>
          <w:caps w:val="false"/>
          <w:smallCaps w:val="false"/>
          <w:sz w:val="20"/>
        </w:rPr>
        <w:t>. 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Authentication</w:t>
      </w:r>
      <w:r>
        <w:rPr>
          <w:rFonts w:ascii="Times New Roman;Times;Serif" w:hAnsi="Times New Roman;Times;Serif"/>
          <w:b w:val="false"/>
          <w:i w:val="false"/>
          <w:caps w:val="false"/>
          <w:smallCaps w:val="false"/>
          <w:sz w:val="20"/>
        </w:rPr>
        <w:t>.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Abbreviations</w:t>
      </w:r>
      <w:r>
        <w:rPr>
          <w:rFonts w:ascii="Times New Roman;Times;Serif" w:hAnsi="Times New Roman;Times;Serif"/>
          <w:b w:val="false"/>
          <w:i w:val="false"/>
          <w:caps w:val="false"/>
          <w:smallCaps w:val="false"/>
          <w:sz w:val="20"/>
        </w:rPr>
        <w:t>. Customary abbreviations may be used in the name of a Holder or its assignee, such as TEN COM (tenants in common), TEN ENT (tenants by the entireties), JT TEN (joint tenants with right of survivorship and not as tenants in common), CUST (custodian), and U/G/M/A (Uniform Gift to Minors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NOTE, AND ANY CLAIM, CONTROVERSY OR DISPUTE ARISING UNDER OR RELATED TO THIS NOTE, WILL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request a copy of the Indenture, which the Company will provide to any Holder at no charge, please send a written request to the following address: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 Pharmaceuticals,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Main Street West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Baudette, Minnesota 56623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val="false"/>
          <w:i w:val="false"/>
          <w:caps w:val="false"/>
          <w:smallCaps w:val="false"/>
          <w:position w:val="7"/>
          <w:sz w:val="16"/>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PRINCIPAL AMOUNT OF THIS GLOBAL NOTE: $[___]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transfers or cancellations of this Global Note have been made: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5"/>
        <w:gridCol w:w="60"/>
        <w:gridCol w:w="3542"/>
        <w:gridCol w:w="60"/>
        <w:gridCol w:w="3401"/>
        <w:gridCol w:w="60"/>
        <w:gridCol w:w="2567"/>
      </w:tblGrid>
      <w:tr>
        <w:trPr/>
        <w:tc>
          <w:tcPr>
            <w:tcW w:w="5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 of Increase (Decrease) in Principal Amount of this Global Note</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Principal Amount of this Global Note After Such Increase (Decrease)</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Signature of Authorized Signatory of Trustee</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r>
        <w:trPr/>
        <w:tc>
          <w:tcPr>
            <w:tcW w:w="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5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2"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1"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33"/>
        <w:gridCol w:w="388"/>
        <w:gridCol w:w="9684"/>
      </w:tblGrid>
      <w:tr>
        <w:trPr/>
        <w:tc>
          <w:tcPr>
            <w:tcW w:w="13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w:t>
            </w:r>
          </w:p>
        </w:tc>
        <w:tc>
          <w:tcPr>
            <w:tcW w:w="9684" w:type="dxa"/>
            <w:tcBorders/>
            <w:vAlign w:val="center"/>
          </w:tcPr>
          <w:p>
            <w:pPr>
              <w:pStyle w:val="TableContents"/>
              <w:bidi w:val="0"/>
              <w:spacing w:before="0" w:after="283"/>
              <w:jc w:val="both"/>
              <w:rPr/>
            </w:pPr>
            <w:r>
              <w:rPr/>
              <w:t>Insert for Global Notes only.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ANI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Convertible Senior Notes due 2029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Conversion Notice, the undersigned Holder of the Note identified below directs the Company to Convert (check one):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59"/>
        <w:gridCol w:w="9302"/>
      </w:tblGrid>
      <w:tr>
        <w:trPr/>
        <w:tc>
          <w:tcPr>
            <w:tcW w:w="1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302" w:type="dxa"/>
            <w:tcBorders/>
            <w:vAlign w:val="center"/>
          </w:tcPr>
          <w:p>
            <w:pPr>
              <w:pStyle w:val="TableContents"/>
              <w:bidi w:val="0"/>
              <w:spacing w:before="0" w:after="283"/>
              <w:jc w:val="both"/>
              <w:rPr>
                <w:sz w:val="20"/>
              </w:rPr>
            </w:pPr>
            <w:r>
              <w:rPr>
                <w:sz w:val="20"/>
              </w:rPr>
              <w:t>the entire principal amount 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409" w:type="dxa"/>
            <w:tcBorders/>
            <w:vAlign w:val="center"/>
          </w:tcPr>
          <w:p>
            <w:pPr>
              <w:pStyle w:val="TableContents"/>
              <w:bidi w:val="0"/>
              <w:spacing w:before="0" w:after="283"/>
              <w:jc w:val="both"/>
              <w:rPr>
                <w:sz w:val="20"/>
              </w:rPr>
            </w:pPr>
            <w:r>
              <w:rPr>
                <w:sz w:val="20"/>
              </w:rPr>
              <w:t>$</w:t>
            </w:r>
            <w:r>
              <w:rPr>
                <w:sz w:val="20"/>
                <w:u w:val="single"/>
              </w:rPr>
              <w:t>  </w:t>
            </w:r>
            <w:r>
              <w:rPr>
                <w:rFonts w:ascii="Times New Roman;Times;Serif" w:hAnsi="Times New Roman;Times;Serif"/>
                <w:position w:val="7"/>
                <w:sz w:val="16"/>
                <w:sz w:val="20"/>
              </w:rPr>
              <w:t xml:space="preserve">* </w:t>
            </w:r>
            <w:r>
              <w:rPr>
                <w:sz w:val="20"/>
              </w:rPr>
              <w:t>aggregate principal amount 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 identified by CUSIP No.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xml:space="preserve">and Certificate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both"/>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94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940" w:type="dxa"/>
            <w:tcBorders/>
            <w:vAlign w:val="center"/>
          </w:tcPr>
          <w:p>
            <w:pPr>
              <w:pStyle w:val="TableContents"/>
              <w:bidi w:val="0"/>
              <w:spacing w:before="0" w:after="283"/>
              <w:jc w:val="center"/>
              <w:rPr>
                <w:sz w:val="20"/>
              </w:rPr>
            </w:pPr>
            <w:r>
              <w:rPr>
                <w:sz w:val="20"/>
              </w:rPr>
              <w:t>(Legal Name of Holder)</w:t>
            </w:r>
          </w:p>
        </w:tc>
      </w:tr>
    </w:tbl>
    <w:p>
      <w:pPr>
        <w:pStyle w:val="TextBody"/>
        <w:bidi w:val="0"/>
        <w:spacing w:before="0" w:after="283"/>
        <w:jc w:val="left"/>
        <w:rPr/>
      </w:pPr>
      <w:r>
        <w:rPr/>
        <w:t> </w:t>
      </w:r>
    </w:p>
    <w:p>
      <w:pPr>
        <w:pStyle w:val="TextBody"/>
        <w:bidi w:val="0"/>
        <w:spacing w:before="0" w:after="283"/>
        <w:jc w:val="left"/>
        <w:rPr/>
      </w:pPr>
      <w:r>
        <w:rPr/>
        <w:t> </w:t>
      </w:r>
    </w:p>
    <w:tbl>
      <w:tblPr>
        <w:tblW w:w="1015" w:type="dxa"/>
        <w:jc w:val="left"/>
        <w:tblInd w:w="0" w:type="dxa"/>
        <w:tblLayout w:type="fixed"/>
        <w:tblCellMar>
          <w:top w:w="0" w:type="dxa"/>
          <w:left w:w="0" w:type="dxa"/>
          <w:bottom w:w="0" w:type="dxa"/>
          <w:right w:w="0" w:type="dxa"/>
        </w:tblCellMar>
      </w:tblPr>
      <w:tblGrid>
        <w:gridCol w:w="75"/>
        <w:gridCol w:w="320"/>
        <w:gridCol w:w="545"/>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sz w:val="20"/>
              </w:rPr>
            </w:pPr>
            <w:r>
              <w:rPr>
                <w:sz w:val="20"/>
              </w:rPr>
              <w:t>By:</w:t>
            </w:r>
          </w:p>
        </w:tc>
        <w:tc>
          <w:tcPr>
            <w:tcW w:w="620"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75"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3185" w:type="dxa"/>
        <w:jc w:val="left"/>
        <w:tblInd w:w="0" w:type="dxa"/>
        <w:tblLayout w:type="fixed"/>
        <w:tblCellMar>
          <w:top w:w="0" w:type="dxa"/>
          <w:left w:w="0" w:type="dxa"/>
          <w:bottom w:w="0" w:type="dxa"/>
          <w:right w:w="0" w:type="dxa"/>
        </w:tblCellMar>
      </w:tblPr>
      <w:tblGrid>
        <w:gridCol w:w="75"/>
        <w:gridCol w:w="3110"/>
      </w:tblGrid>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both"/>
              <w:rPr>
                <w:sz w:val="20"/>
              </w:rPr>
            </w:pPr>
            <w:r>
              <w:rPr>
                <w:sz w:val="20"/>
              </w:rPr>
              <w:t>Signature Guaranteed:</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11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center"/>
              <w:rPr>
                <w:sz w:val="20"/>
              </w:rPr>
            </w:pPr>
            <w:r>
              <w:rPr>
                <w:sz w:val="20"/>
              </w:rPr>
              <w:t>Participant in a Recognized Signature</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center"/>
              <w:rPr>
                <w:sz w:val="20"/>
              </w:rPr>
            </w:pPr>
            <w:r>
              <w:rPr>
                <w:sz w:val="20"/>
              </w:rPr>
              <w:t>Guarantee Medallion Program</w:t>
            </w:r>
          </w:p>
        </w:tc>
      </w:tr>
    </w:tbl>
    <w:p>
      <w:pPr>
        <w:pStyle w:val="TextBody"/>
        <w:bidi w:val="0"/>
        <w:spacing w:before="0" w:after="283"/>
        <w:jc w:val="left"/>
        <w:rPr/>
      </w:pPr>
      <w:r>
        <w:rPr/>
        <w:t> </w:t>
      </w:r>
    </w:p>
    <w:p>
      <w:pPr>
        <w:pStyle w:val="TextBody"/>
        <w:bidi w:val="0"/>
        <w:spacing w:before="0" w:after="283"/>
        <w:jc w:val="left"/>
        <w:rPr/>
      </w:pPr>
      <w:r>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sz w:val="20"/>
              </w:rPr>
            </w:pPr>
            <w:r>
              <w:rPr>
                <w:sz w:val="20"/>
              </w:rPr>
              <w:t>By:</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center"/>
              <w:rPr>
                <w:sz w:val="20"/>
              </w:rPr>
            </w:pPr>
            <w:r>
              <w:rPr>
                <w:sz w:val="20"/>
              </w:rPr>
              <w:t>Authorized Signatory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93"/>
        <w:gridCol w:w="9811"/>
      </w:tblGrid>
      <w:tr>
        <w:trPr/>
        <w:tc>
          <w:tcPr>
            <w:tcW w:w="10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w:t>
            </w:r>
          </w:p>
        </w:tc>
        <w:tc>
          <w:tcPr>
            <w:tcW w:w="9811" w:type="dxa"/>
            <w:tcBorders/>
            <w:vAlign w:val="center"/>
          </w:tcPr>
          <w:p>
            <w:pPr>
              <w:pStyle w:val="TableContents"/>
              <w:bidi w:val="0"/>
              <w:spacing w:before="0" w:after="283"/>
              <w:jc w:val="both"/>
              <w:rPr/>
            </w:pPr>
            <w:r>
              <w:rPr/>
              <w:t>Must be an Authorized Denomination.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CHANGE REPURCHASE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ANI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Convertible Senior Notes due 2029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Fundamental Change Repurchase Notice, the undersigned Holder of the Note identified below is exercising its Fundamental Change Repurchase Right with respect to (check one):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59"/>
        <w:gridCol w:w="9302"/>
      </w:tblGrid>
      <w:tr>
        <w:trPr/>
        <w:tc>
          <w:tcPr>
            <w:tcW w:w="1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302" w:type="dxa"/>
            <w:tcBorders/>
            <w:vAlign w:val="center"/>
          </w:tcPr>
          <w:p>
            <w:pPr>
              <w:pStyle w:val="TableContents"/>
              <w:bidi w:val="0"/>
              <w:spacing w:before="0" w:after="283"/>
              <w:jc w:val="both"/>
              <w:rPr>
                <w:sz w:val="20"/>
              </w:rPr>
            </w:pPr>
            <w:r>
              <w:rPr>
                <w:sz w:val="20"/>
              </w:rPr>
              <w:t>the entire principal amount 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409" w:type="dxa"/>
            <w:tcBorders/>
            <w:vAlign w:val="center"/>
          </w:tcPr>
          <w:p>
            <w:pPr>
              <w:pStyle w:val="TableContents"/>
              <w:bidi w:val="0"/>
              <w:spacing w:before="0" w:after="283"/>
              <w:jc w:val="both"/>
              <w:rPr>
                <w:sz w:val="20"/>
              </w:rPr>
            </w:pPr>
            <w:r>
              <w:rPr>
                <w:sz w:val="20"/>
              </w:rPr>
              <w:t>$</w:t>
            </w:r>
            <w:r>
              <w:rPr>
                <w:sz w:val="20"/>
                <w:u w:val="single"/>
              </w:rPr>
              <w:t>  </w:t>
            </w:r>
            <w:r>
              <w:rPr>
                <w:rFonts w:ascii="Times New Roman;Times;Serif" w:hAnsi="Times New Roman;Times;Serif"/>
                <w:position w:val="7"/>
                <w:sz w:val="16"/>
                <w:sz w:val="20"/>
              </w:rPr>
              <w:t xml:space="preserve">* </w:t>
            </w:r>
            <w:r>
              <w:rPr>
                <w:sz w:val="20"/>
              </w:rPr>
              <w:t>aggregate principal amount 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 identified by CUSIP No.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xml:space="preserve">and Certificate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this Note, duly endorsed for transfer, must be delivered to the Paying Agent before the Fundamental Change Repurchase Price will be paid.</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both"/>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94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940" w:type="dxa"/>
            <w:tcBorders/>
            <w:vAlign w:val="center"/>
          </w:tcPr>
          <w:p>
            <w:pPr>
              <w:pStyle w:val="TableContents"/>
              <w:bidi w:val="0"/>
              <w:spacing w:before="0" w:after="283"/>
              <w:jc w:val="center"/>
              <w:rPr>
                <w:sz w:val="20"/>
              </w:rPr>
            </w:pPr>
            <w:r>
              <w:rPr>
                <w:sz w:val="20"/>
              </w:rPr>
              <w:t>(Legal Name of Holder)</w:t>
            </w:r>
          </w:p>
        </w:tc>
      </w:tr>
    </w:tbl>
    <w:p>
      <w:pPr>
        <w:pStyle w:val="TextBody"/>
        <w:bidi w:val="0"/>
        <w:spacing w:before="0" w:after="283"/>
        <w:jc w:val="left"/>
        <w:rPr/>
      </w:pPr>
      <w:r>
        <w:rPr/>
        <w:t> </w:t>
      </w:r>
    </w:p>
    <w:p>
      <w:pPr>
        <w:pStyle w:val="TextBody"/>
        <w:bidi w:val="0"/>
        <w:spacing w:before="0" w:after="283"/>
        <w:jc w:val="left"/>
        <w:rPr/>
      </w:pPr>
      <w:r>
        <w:rPr/>
        <w:t> </w:t>
      </w:r>
    </w:p>
    <w:tbl>
      <w:tblPr>
        <w:tblW w:w="1015" w:type="dxa"/>
        <w:jc w:val="left"/>
        <w:tblInd w:w="0" w:type="dxa"/>
        <w:tblLayout w:type="fixed"/>
        <w:tblCellMar>
          <w:top w:w="0" w:type="dxa"/>
          <w:left w:w="0" w:type="dxa"/>
          <w:bottom w:w="0" w:type="dxa"/>
          <w:right w:w="0" w:type="dxa"/>
        </w:tblCellMar>
      </w:tblPr>
      <w:tblGrid>
        <w:gridCol w:w="75"/>
        <w:gridCol w:w="320"/>
        <w:gridCol w:w="545"/>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sz w:val="20"/>
              </w:rPr>
            </w:pPr>
            <w:r>
              <w:rPr>
                <w:sz w:val="20"/>
              </w:rPr>
              <w:t>By:</w:t>
            </w:r>
          </w:p>
        </w:tc>
        <w:tc>
          <w:tcPr>
            <w:tcW w:w="620"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75"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3185" w:type="dxa"/>
        <w:jc w:val="left"/>
        <w:tblInd w:w="0" w:type="dxa"/>
        <w:tblLayout w:type="fixed"/>
        <w:tblCellMar>
          <w:top w:w="0" w:type="dxa"/>
          <w:left w:w="0" w:type="dxa"/>
          <w:bottom w:w="0" w:type="dxa"/>
          <w:right w:w="0" w:type="dxa"/>
        </w:tblCellMar>
      </w:tblPr>
      <w:tblGrid>
        <w:gridCol w:w="75"/>
        <w:gridCol w:w="3110"/>
      </w:tblGrid>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both"/>
              <w:rPr>
                <w:sz w:val="20"/>
              </w:rPr>
            </w:pPr>
            <w:r>
              <w:rPr>
                <w:sz w:val="20"/>
              </w:rPr>
              <w:t>Signature Guaranteed:</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11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center"/>
              <w:rPr>
                <w:sz w:val="20"/>
              </w:rPr>
            </w:pPr>
            <w:r>
              <w:rPr>
                <w:sz w:val="20"/>
              </w:rPr>
              <w:t>Participant in a Recognized Signature</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center"/>
              <w:rPr>
                <w:sz w:val="20"/>
              </w:rPr>
            </w:pPr>
            <w:r>
              <w:rPr>
                <w:sz w:val="20"/>
              </w:rPr>
              <w:t>Guarantee Medallion Program</w:t>
            </w:r>
          </w:p>
        </w:tc>
      </w:tr>
    </w:tbl>
    <w:p>
      <w:pPr>
        <w:pStyle w:val="TextBody"/>
        <w:bidi w:val="0"/>
        <w:spacing w:before="0" w:after="283"/>
        <w:jc w:val="left"/>
        <w:rPr/>
      </w:pPr>
      <w:r>
        <w:rPr/>
        <w:t> </w:t>
      </w:r>
    </w:p>
    <w:p>
      <w:pPr>
        <w:pStyle w:val="TextBody"/>
        <w:bidi w:val="0"/>
        <w:spacing w:before="0" w:after="283"/>
        <w:jc w:val="left"/>
        <w:rPr/>
      </w:pPr>
      <w:r>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sz w:val="20"/>
              </w:rPr>
            </w:pPr>
            <w:r>
              <w:rPr>
                <w:sz w:val="20"/>
              </w:rPr>
              <w:t>By:</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center"/>
              <w:rPr>
                <w:sz w:val="20"/>
              </w:rPr>
            </w:pPr>
            <w:r>
              <w:rPr>
                <w:sz w:val="20"/>
              </w:rPr>
              <w:t>Authorized Signatory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93"/>
        <w:gridCol w:w="9811"/>
      </w:tblGrid>
      <w:tr>
        <w:trPr/>
        <w:tc>
          <w:tcPr>
            <w:tcW w:w="10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w:t>
            </w:r>
          </w:p>
        </w:tc>
        <w:tc>
          <w:tcPr>
            <w:tcW w:w="9811" w:type="dxa"/>
            <w:tcBorders/>
            <w:vAlign w:val="center"/>
          </w:tcPr>
          <w:p>
            <w:pPr>
              <w:pStyle w:val="TableContents"/>
              <w:bidi w:val="0"/>
              <w:spacing w:before="0" w:after="283"/>
              <w:jc w:val="both"/>
              <w:rPr/>
            </w:pPr>
            <w:r>
              <w:rPr/>
              <w:t>Must be an Authorized Denomination.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ANI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Convertible Senior Notes due 2029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the undersigned Holder of the Note identified below assigns (check one):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59"/>
        <w:gridCol w:w="9302"/>
      </w:tblGrid>
      <w:tr>
        <w:trPr/>
        <w:tc>
          <w:tcPr>
            <w:tcW w:w="1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302" w:type="dxa"/>
            <w:tcBorders/>
            <w:vAlign w:val="center"/>
          </w:tcPr>
          <w:p>
            <w:pPr>
              <w:pStyle w:val="TableContents"/>
              <w:bidi w:val="0"/>
              <w:spacing w:before="0" w:after="283"/>
              <w:jc w:val="both"/>
              <w:rPr>
                <w:sz w:val="20"/>
              </w:rPr>
            </w:pPr>
            <w:r>
              <w:rPr>
                <w:sz w:val="20"/>
              </w:rPr>
              <w:t>the entire principal amount 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409" w:type="dxa"/>
            <w:tcBorders/>
            <w:vAlign w:val="center"/>
          </w:tcPr>
          <w:p>
            <w:pPr>
              <w:pStyle w:val="TableContents"/>
              <w:bidi w:val="0"/>
              <w:spacing w:before="0" w:after="283"/>
              <w:jc w:val="both"/>
              <w:rPr>
                <w:sz w:val="20"/>
              </w:rPr>
            </w:pPr>
            <w:r>
              <w:rPr>
                <w:sz w:val="20"/>
              </w:rPr>
              <w:t>$</w:t>
            </w:r>
            <w:r>
              <w:rPr>
                <w:sz w:val="20"/>
                <w:u w:val="single"/>
              </w:rPr>
              <w:t>  </w:t>
            </w:r>
            <w:r>
              <w:rPr>
                <w:rFonts w:ascii="Times New Roman;Times;Serif" w:hAnsi="Times New Roman;Times;Serif"/>
                <w:position w:val="7"/>
                <w:sz w:val="16"/>
                <w:sz w:val="20"/>
              </w:rPr>
              <w:t xml:space="preserve">* </w:t>
            </w:r>
            <w:r>
              <w:rPr>
                <w:sz w:val="20"/>
              </w:rPr>
              <w:t>aggregate principal amount 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 identified by CUSIP No.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xml:space="preserve">and Certificate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and all rights thereunder, to:</w:t>
      </w:r>
    </w:p>
    <w:p>
      <w:pPr>
        <w:pStyle w:val="TextBody"/>
        <w:bidi w:val="0"/>
        <w:spacing w:before="0" w:after="0"/>
        <w:ind w:left="0" w:right="0" w:hanging="0"/>
        <w:jc w:val="both"/>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2210"/>
        <w:gridCol w:w="60"/>
        <w:gridCol w:w="75"/>
      </w:tblGrid>
      <w:tr>
        <w:trPr/>
        <w:tc>
          <w:tcPr>
            <w:tcW w:w="2210" w:type="dxa"/>
            <w:tcBorders/>
            <w:vAlign w:val="center"/>
          </w:tcPr>
          <w:p>
            <w:pPr>
              <w:pStyle w:val="TableContents"/>
              <w:bidi w:val="0"/>
              <w:spacing w:before="0" w:after="283"/>
              <w:jc w:val="both"/>
              <w:rPr>
                <w:sz w:val="20"/>
              </w:rPr>
            </w:pPr>
            <w:r>
              <w:rPr>
                <w:sz w:val="20"/>
              </w:rPr>
              <w:t>Name:</w:t>
            </w:r>
          </w:p>
        </w:tc>
        <w:tc>
          <w:tcPr>
            <w:tcW w:w="6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2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210" w:type="dxa"/>
            <w:tcBorders/>
            <w:vAlign w:val="center"/>
          </w:tcPr>
          <w:p>
            <w:pPr>
              <w:pStyle w:val="TableContents"/>
              <w:bidi w:val="0"/>
              <w:spacing w:before="0" w:after="283"/>
              <w:jc w:val="both"/>
              <w:rPr>
                <w:sz w:val="20"/>
              </w:rPr>
            </w:pPr>
            <w:r>
              <w:rPr>
                <w:sz w:val="20"/>
              </w:rPr>
              <w:t>Address:</w:t>
            </w:r>
          </w:p>
        </w:tc>
        <w:tc>
          <w:tcPr>
            <w:tcW w:w="6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2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210" w:type="dxa"/>
            <w:tcBorders/>
            <w:vAlign w:val="center"/>
          </w:tcPr>
          <w:p>
            <w:pPr>
              <w:pStyle w:val="TableContents"/>
              <w:bidi w:val="0"/>
              <w:spacing w:before="0" w:after="283"/>
              <w:jc w:val="both"/>
              <w:rPr>
                <w:sz w:val="20"/>
              </w:rPr>
            </w:pPr>
            <w:r>
              <w:rPr>
                <w:sz w:val="20"/>
              </w:rPr>
              <w:t>Social security or tax id. #:</w:t>
            </w:r>
          </w:p>
        </w:tc>
        <w:tc>
          <w:tcPr>
            <w:tcW w:w="6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2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210" w:type="dxa"/>
            <w:tcBorders/>
            <w:vAlign w:val="center"/>
          </w:tcPr>
          <w:p>
            <w:pPr>
              <w:pStyle w:val="TableContents"/>
              <w:bidi w:val="0"/>
              <w:spacing w:before="0" w:after="283"/>
              <w:jc w:val="both"/>
              <w:rPr>
                <w:sz w:val="20"/>
              </w:rPr>
            </w:pPr>
            <w:r>
              <w:rPr>
                <w:sz w:val="20"/>
              </w:rPr>
              <w:t>and irrevocably appoints:</w:t>
            </w:r>
          </w:p>
        </w:tc>
        <w:tc>
          <w:tcPr>
            <w:tcW w:w="6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agent to transfer the within Note on the books of the Company. The agent may substitute another to act for him/her.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both"/>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94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940" w:type="dxa"/>
            <w:tcBorders/>
            <w:vAlign w:val="center"/>
          </w:tcPr>
          <w:p>
            <w:pPr>
              <w:pStyle w:val="TableContents"/>
              <w:bidi w:val="0"/>
              <w:spacing w:before="0" w:after="283"/>
              <w:jc w:val="center"/>
              <w:rPr>
                <w:sz w:val="20"/>
              </w:rPr>
            </w:pPr>
            <w:r>
              <w:rPr>
                <w:sz w:val="20"/>
              </w:rPr>
              <w:t>(Legal Name of Holder)</w:t>
            </w:r>
          </w:p>
        </w:tc>
      </w:tr>
    </w:tbl>
    <w:p>
      <w:pPr>
        <w:pStyle w:val="TextBody"/>
        <w:bidi w:val="0"/>
        <w:spacing w:before="0" w:after="283"/>
        <w:jc w:val="left"/>
        <w:rPr/>
      </w:pPr>
      <w:r>
        <w:rPr/>
        <w:t> </w:t>
      </w:r>
    </w:p>
    <w:p>
      <w:pPr>
        <w:pStyle w:val="TextBody"/>
        <w:bidi w:val="0"/>
        <w:spacing w:before="0" w:after="283"/>
        <w:jc w:val="left"/>
        <w:rPr/>
      </w:pPr>
      <w:r>
        <w:rPr/>
        <w:t> </w:t>
      </w:r>
    </w:p>
    <w:tbl>
      <w:tblPr>
        <w:tblW w:w="1015" w:type="dxa"/>
        <w:jc w:val="left"/>
        <w:tblInd w:w="0" w:type="dxa"/>
        <w:tblLayout w:type="fixed"/>
        <w:tblCellMar>
          <w:top w:w="0" w:type="dxa"/>
          <w:left w:w="0" w:type="dxa"/>
          <w:bottom w:w="0" w:type="dxa"/>
          <w:right w:w="0" w:type="dxa"/>
        </w:tblCellMar>
      </w:tblPr>
      <w:tblGrid>
        <w:gridCol w:w="75"/>
        <w:gridCol w:w="320"/>
        <w:gridCol w:w="545"/>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sz w:val="20"/>
              </w:rPr>
            </w:pPr>
            <w:r>
              <w:rPr>
                <w:sz w:val="20"/>
              </w:rPr>
              <w:t>By:</w:t>
            </w:r>
          </w:p>
        </w:tc>
        <w:tc>
          <w:tcPr>
            <w:tcW w:w="620"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75"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3185" w:type="dxa"/>
        <w:jc w:val="left"/>
        <w:tblInd w:w="0" w:type="dxa"/>
        <w:tblLayout w:type="fixed"/>
        <w:tblCellMar>
          <w:top w:w="0" w:type="dxa"/>
          <w:left w:w="0" w:type="dxa"/>
          <w:bottom w:w="0" w:type="dxa"/>
          <w:right w:w="0" w:type="dxa"/>
        </w:tblCellMar>
      </w:tblPr>
      <w:tblGrid>
        <w:gridCol w:w="75"/>
        <w:gridCol w:w="3110"/>
      </w:tblGrid>
      <w:tr>
        <w:trPr/>
        <w:tc>
          <w:tcPr>
            <w:tcW w:w="75" w:type="dxa"/>
            <w:tcBorders/>
            <w:vAlign w:val="center"/>
          </w:tcPr>
          <w:p>
            <w:pPr>
              <w:pStyle w:val="TableContents"/>
              <w:bidi w:val="0"/>
              <w:spacing w:before="0" w:after="283"/>
              <w:jc w:val="both"/>
              <w:rPr/>
            </w:pPr>
            <w:r>
              <w:rPr/>
              <w:t> </w:t>
            </w:r>
          </w:p>
        </w:tc>
        <w:tc>
          <w:tcPr>
            <w:tcW w:w="3110" w:type="dxa"/>
            <w:tcBorders/>
            <w:vAlign w:val="center"/>
          </w:tcPr>
          <w:p>
            <w:pPr>
              <w:pStyle w:val="TableContents"/>
              <w:bidi w:val="0"/>
              <w:spacing w:before="0" w:after="283"/>
              <w:jc w:val="left"/>
              <w:rPr>
                <w:sz w:val="20"/>
              </w:rPr>
            </w:pPr>
            <w:r>
              <w:rPr>
                <w:sz w:val="20"/>
              </w:rPr>
              <w:t>Signature Guaranteed:</w:t>
            </w:r>
          </w:p>
        </w:tc>
      </w:tr>
      <w:tr>
        <w:trPr/>
        <w:tc>
          <w:tcPr>
            <w:tcW w:w="75" w:type="dxa"/>
            <w:tcBorders/>
            <w:vAlign w:val="center"/>
          </w:tcPr>
          <w:p>
            <w:pPr>
              <w:pStyle w:val="TableContents"/>
              <w:bidi w:val="0"/>
              <w:spacing w:before="0" w:after="283"/>
              <w:jc w:val="both"/>
              <w:rPr/>
            </w:pPr>
            <w:r>
              <w:rPr/>
              <w:t> </w:t>
            </w:r>
          </w:p>
        </w:tc>
        <w:tc>
          <w:tcPr>
            <w:tcW w:w="311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both"/>
              <w:rPr/>
            </w:pPr>
            <w:r>
              <w:rPr/>
              <w:t> </w:t>
            </w:r>
          </w:p>
        </w:tc>
        <w:tc>
          <w:tcPr>
            <w:tcW w:w="3110"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both"/>
              <w:rPr/>
            </w:pPr>
            <w:r>
              <w:rPr/>
              <w:t> </w:t>
            </w:r>
          </w:p>
        </w:tc>
        <w:tc>
          <w:tcPr>
            <w:tcW w:w="3110" w:type="dxa"/>
            <w:tcBorders/>
            <w:vAlign w:val="center"/>
          </w:tcPr>
          <w:p>
            <w:pPr>
              <w:pStyle w:val="TableContents"/>
              <w:bidi w:val="0"/>
              <w:spacing w:before="0" w:after="283"/>
              <w:jc w:val="center"/>
              <w:rPr>
                <w:sz w:val="20"/>
              </w:rPr>
            </w:pPr>
            <w:r>
              <w:rPr>
                <w:sz w:val="20"/>
              </w:rPr>
              <w:t>Participant in a Recognized Signature</w:t>
            </w:r>
          </w:p>
        </w:tc>
      </w:tr>
      <w:tr>
        <w:trPr/>
        <w:tc>
          <w:tcPr>
            <w:tcW w:w="75" w:type="dxa"/>
            <w:tcBorders/>
            <w:vAlign w:val="center"/>
          </w:tcPr>
          <w:p>
            <w:pPr>
              <w:pStyle w:val="TableContents"/>
              <w:bidi w:val="0"/>
              <w:spacing w:before="0" w:after="283"/>
              <w:jc w:val="both"/>
              <w:rPr/>
            </w:pPr>
            <w:r>
              <w:rPr/>
              <w:t> </w:t>
            </w:r>
          </w:p>
        </w:tc>
        <w:tc>
          <w:tcPr>
            <w:tcW w:w="3110" w:type="dxa"/>
            <w:tcBorders/>
            <w:vAlign w:val="center"/>
          </w:tcPr>
          <w:p>
            <w:pPr>
              <w:pStyle w:val="TableContents"/>
              <w:bidi w:val="0"/>
              <w:spacing w:before="0" w:after="283"/>
              <w:jc w:val="center"/>
              <w:rPr>
                <w:sz w:val="20"/>
              </w:rPr>
            </w:pPr>
            <w:r>
              <w:rPr>
                <w:sz w:val="20"/>
              </w:rPr>
              <w:t>Guarantee Medallion Program</w:t>
            </w:r>
          </w:p>
        </w:tc>
      </w:tr>
    </w:tbl>
    <w:p>
      <w:pPr>
        <w:pStyle w:val="TextBody"/>
        <w:bidi w:val="0"/>
        <w:spacing w:before="0" w:after="283"/>
        <w:jc w:val="left"/>
        <w:rPr/>
      </w:pPr>
      <w:r>
        <w:rPr/>
        <w:t> </w:t>
      </w:r>
    </w:p>
    <w:p>
      <w:pPr>
        <w:pStyle w:val="TextBody"/>
        <w:bidi w:val="0"/>
        <w:spacing w:before="0" w:after="283"/>
        <w:jc w:val="left"/>
        <w:rPr/>
      </w:pPr>
      <w:r>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sz w:val="20"/>
              </w:rPr>
            </w:pPr>
            <w:r>
              <w:rPr>
                <w:sz w:val="20"/>
              </w:rPr>
              <w:t>By:</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center"/>
              <w:rPr>
                <w:sz w:val="20"/>
              </w:rPr>
            </w:pPr>
            <w:r>
              <w:rPr>
                <w:sz w:val="20"/>
              </w:rPr>
              <w:t>Authorized Signatory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93"/>
        <w:gridCol w:w="9811"/>
      </w:tblGrid>
      <w:tr>
        <w:trPr/>
        <w:tc>
          <w:tcPr>
            <w:tcW w:w="10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w:t>
            </w:r>
          </w:p>
        </w:tc>
        <w:tc>
          <w:tcPr>
            <w:tcW w:w="9811" w:type="dxa"/>
            <w:tcBorders/>
            <w:vAlign w:val="center"/>
          </w:tcPr>
          <w:p>
            <w:pPr>
              <w:pStyle w:val="TableContents"/>
              <w:bidi w:val="0"/>
              <w:spacing w:before="0" w:after="283"/>
              <w:jc w:val="both"/>
              <w:rPr/>
            </w:pPr>
            <w:r>
              <w:rPr/>
              <w:t>Must be an Authorized Denomination.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TRANSFEROR 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within Note bears a Restricted Note Legend, the undersigned further certifies that (check one):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230"/>
        <w:gridCol w:w="9813"/>
      </w:tblGrid>
      <w:tr>
        <w:trPr/>
        <w:tc>
          <w:tcPr>
            <w:tcW w:w="162" w:type="dxa"/>
            <w:tcBorders/>
            <w:vAlign w:val="center"/>
          </w:tcPr>
          <w:p>
            <w:pPr>
              <w:pStyle w:val="TableContents"/>
              <w:bidi w:val="0"/>
              <w:spacing w:before="0" w:after="283"/>
              <w:jc w:val="both"/>
              <w:rPr/>
            </w:pPr>
            <w:r>
              <w:rPr/>
              <w:t>1.</w:t>
            </w:r>
          </w:p>
        </w:tc>
        <w:tc>
          <w:tcPr>
            <w:tcW w:w="230" w:type="dxa"/>
            <w:tcBorders/>
            <w:vAlign w:val="center"/>
          </w:tcPr>
          <w:p>
            <w:pPr>
              <w:pStyle w:val="TableContents"/>
              <w:bidi w:val="0"/>
              <w:spacing w:before="0" w:after="283"/>
              <w:jc w:val="both"/>
              <w:rPr>
                <w:rFonts w:ascii="Wingdings" w:hAnsi="Wingdings"/>
              </w:rPr>
            </w:pPr>
            <w:r>
              <w:rPr>
                <w:rFonts w:ascii="Wingdings" w:hAnsi="Wingdings"/>
              </w:rPr>
              <w:t>o</w:t>
            </w:r>
          </w:p>
        </w:tc>
        <w:tc>
          <w:tcPr>
            <w:tcW w:w="9813" w:type="dxa"/>
            <w:tcBorders/>
            <w:vAlign w:val="center"/>
          </w:tcPr>
          <w:p>
            <w:pPr>
              <w:pStyle w:val="TableContents"/>
              <w:bidi w:val="0"/>
              <w:spacing w:before="0" w:after="283"/>
              <w:jc w:val="both"/>
              <w:rPr/>
            </w:pPr>
            <w:r>
              <w:rPr/>
              <w:t>Such Transfer is being made to the Company or a Subsidiary of the Company.</w:t>
            </w:r>
          </w:p>
        </w:tc>
      </w:tr>
      <w:tr>
        <w:trPr/>
        <w:tc>
          <w:tcPr>
            <w:tcW w:w="162"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813" w:type="dxa"/>
            <w:tcBorders/>
            <w:vAlign w:val="center"/>
          </w:tcPr>
          <w:p>
            <w:pPr>
              <w:pStyle w:val="TableContents"/>
              <w:bidi w:val="0"/>
              <w:spacing w:before="0" w:after="283"/>
              <w:jc w:val="both"/>
              <w:rPr/>
            </w:pPr>
            <w:r>
              <w:rPr/>
              <w:t> </w:t>
            </w:r>
          </w:p>
        </w:tc>
      </w:tr>
      <w:tr>
        <w:trPr/>
        <w:tc>
          <w:tcPr>
            <w:tcW w:w="162" w:type="dxa"/>
            <w:tcBorders/>
            <w:vAlign w:val="center"/>
          </w:tcPr>
          <w:p>
            <w:pPr>
              <w:pStyle w:val="TableContents"/>
              <w:bidi w:val="0"/>
              <w:spacing w:before="0" w:after="283"/>
              <w:jc w:val="both"/>
              <w:rPr/>
            </w:pPr>
            <w:r>
              <w:rPr/>
              <w:t>2.</w:t>
            </w:r>
          </w:p>
        </w:tc>
        <w:tc>
          <w:tcPr>
            <w:tcW w:w="230" w:type="dxa"/>
            <w:tcBorders/>
            <w:vAlign w:val="center"/>
          </w:tcPr>
          <w:p>
            <w:pPr>
              <w:pStyle w:val="TableContents"/>
              <w:bidi w:val="0"/>
              <w:spacing w:before="0" w:after="283"/>
              <w:jc w:val="both"/>
              <w:rPr>
                <w:rFonts w:ascii="Wingdings" w:hAnsi="Wingdings"/>
              </w:rPr>
            </w:pPr>
            <w:r>
              <w:rPr>
                <w:rFonts w:ascii="Wingdings" w:hAnsi="Wingdings"/>
              </w:rPr>
              <w:t>o</w:t>
            </w:r>
          </w:p>
        </w:tc>
        <w:tc>
          <w:tcPr>
            <w:tcW w:w="9813" w:type="dxa"/>
            <w:tcBorders/>
            <w:vAlign w:val="center"/>
          </w:tcPr>
          <w:p>
            <w:pPr>
              <w:pStyle w:val="TableContents"/>
              <w:bidi w:val="0"/>
              <w:spacing w:before="0" w:after="283"/>
              <w:jc w:val="both"/>
              <w:rPr/>
            </w:pPr>
            <w:r>
              <w:rPr/>
              <w:t>Such Transfer is being made pursuant to, and in accordance with, a registration statement that is effective under the Securities Act at the time of the Transfer.</w:t>
            </w:r>
          </w:p>
        </w:tc>
      </w:tr>
      <w:tr>
        <w:trPr/>
        <w:tc>
          <w:tcPr>
            <w:tcW w:w="162"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813" w:type="dxa"/>
            <w:tcBorders/>
            <w:vAlign w:val="center"/>
          </w:tcPr>
          <w:p>
            <w:pPr>
              <w:pStyle w:val="TableContents"/>
              <w:bidi w:val="0"/>
              <w:spacing w:before="0" w:after="283"/>
              <w:jc w:val="both"/>
              <w:rPr/>
            </w:pPr>
            <w:r>
              <w:rPr/>
              <w:t> </w:t>
            </w:r>
          </w:p>
        </w:tc>
      </w:tr>
      <w:tr>
        <w:trPr/>
        <w:tc>
          <w:tcPr>
            <w:tcW w:w="162" w:type="dxa"/>
            <w:tcBorders/>
            <w:vAlign w:val="center"/>
          </w:tcPr>
          <w:p>
            <w:pPr>
              <w:pStyle w:val="TableContents"/>
              <w:bidi w:val="0"/>
              <w:spacing w:before="0" w:after="283"/>
              <w:jc w:val="both"/>
              <w:rPr/>
            </w:pPr>
            <w:r>
              <w:rPr/>
              <w:t>3.</w:t>
            </w:r>
          </w:p>
        </w:tc>
        <w:tc>
          <w:tcPr>
            <w:tcW w:w="230" w:type="dxa"/>
            <w:tcBorders/>
            <w:vAlign w:val="center"/>
          </w:tcPr>
          <w:p>
            <w:pPr>
              <w:pStyle w:val="TableContents"/>
              <w:bidi w:val="0"/>
              <w:spacing w:before="0" w:after="283"/>
              <w:jc w:val="both"/>
              <w:rPr>
                <w:rFonts w:ascii="Wingdings" w:hAnsi="Wingdings"/>
              </w:rPr>
            </w:pPr>
            <w:r>
              <w:rPr>
                <w:rFonts w:ascii="Wingdings" w:hAnsi="Wingdings"/>
              </w:rPr>
              <w:t>o</w:t>
            </w:r>
          </w:p>
        </w:tc>
        <w:tc>
          <w:tcPr>
            <w:tcW w:w="9813" w:type="dxa"/>
            <w:tcBorders/>
            <w:vAlign w:val="center"/>
          </w:tcPr>
          <w:p>
            <w:pPr>
              <w:pStyle w:val="TableContents"/>
              <w:bidi w:val="0"/>
              <w:spacing w:before="0" w:after="283"/>
              <w:jc w:val="both"/>
              <w:rPr/>
            </w:pPr>
            <w:r>
              <w:rPr/>
              <w:t xml:space="preserve">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Person reasonably believed to be a “qualified institutional buyer” within the meaning of Rule 144A under the Securities Act in a transaction meeting the requirements of Rule 144A. </w:t>
            </w:r>
            <w:r>
              <w:rPr>
                <w:b/>
              </w:rPr>
              <w:t>If this item is checked, then the transferee must complete and execute the acknowledgment contained on the next page</w:t>
            </w:r>
            <w:r>
              <w:rPr/>
              <w:t>.</w:t>
            </w:r>
          </w:p>
        </w:tc>
      </w:tr>
      <w:tr>
        <w:trPr/>
        <w:tc>
          <w:tcPr>
            <w:tcW w:w="162"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813" w:type="dxa"/>
            <w:tcBorders/>
            <w:vAlign w:val="center"/>
          </w:tcPr>
          <w:p>
            <w:pPr>
              <w:pStyle w:val="TableContents"/>
              <w:bidi w:val="0"/>
              <w:spacing w:before="0" w:after="283"/>
              <w:jc w:val="both"/>
              <w:rPr/>
            </w:pPr>
            <w:r>
              <w:rPr/>
              <w:t> </w:t>
            </w:r>
          </w:p>
        </w:tc>
      </w:tr>
      <w:tr>
        <w:trPr/>
        <w:tc>
          <w:tcPr>
            <w:tcW w:w="162" w:type="dxa"/>
            <w:tcBorders/>
            <w:vAlign w:val="center"/>
          </w:tcPr>
          <w:p>
            <w:pPr>
              <w:pStyle w:val="TableContents"/>
              <w:bidi w:val="0"/>
              <w:spacing w:before="0" w:after="283"/>
              <w:jc w:val="both"/>
              <w:rPr/>
            </w:pPr>
            <w:r>
              <w:rPr/>
              <w:t>4.</w:t>
            </w:r>
          </w:p>
        </w:tc>
        <w:tc>
          <w:tcPr>
            <w:tcW w:w="230" w:type="dxa"/>
            <w:tcBorders/>
            <w:vAlign w:val="center"/>
          </w:tcPr>
          <w:p>
            <w:pPr>
              <w:pStyle w:val="TableContents"/>
              <w:bidi w:val="0"/>
              <w:spacing w:before="0" w:after="283"/>
              <w:jc w:val="both"/>
              <w:rPr>
                <w:rFonts w:ascii="Wingdings" w:hAnsi="Wingdings"/>
              </w:rPr>
            </w:pPr>
            <w:r>
              <w:rPr>
                <w:rFonts w:ascii="Wingdings" w:hAnsi="Wingdings"/>
              </w:rPr>
              <w:t>o</w:t>
            </w:r>
          </w:p>
        </w:tc>
        <w:tc>
          <w:tcPr>
            <w:tcW w:w="9813" w:type="dxa"/>
            <w:tcBorders/>
            <w:vAlign w:val="center"/>
          </w:tcPr>
          <w:p>
            <w:pPr>
              <w:pStyle w:val="TableContents"/>
              <w:bidi w:val="0"/>
              <w:spacing w:before="0" w:after="283"/>
              <w:jc w:val="both"/>
              <w:rPr/>
            </w:pPr>
            <w:r>
              <w:rPr/>
              <w:t>Such Transfer is being made pursuant to, and in accordance with, any other available exemption from the registration requirements of the Securities Act (including, if available, the exemption provided by Rule 144 under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both"/>
              <w:rPr>
                <w:sz w:val="20"/>
              </w:rPr>
            </w:pPr>
            <w:r>
              <w:rPr>
                <w:sz w:val="20"/>
              </w:rPr>
              <w:t>Dated:</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2015" w:type="dxa"/>
        <w:jc w:val="left"/>
        <w:tblInd w:w="0" w:type="dxa"/>
        <w:tblLayout w:type="fixed"/>
        <w:tblCellMar>
          <w:top w:w="0" w:type="dxa"/>
          <w:left w:w="0" w:type="dxa"/>
          <w:bottom w:w="28" w:type="dxa"/>
          <w:right w:w="0" w:type="dxa"/>
        </w:tblCellMar>
      </w:tblPr>
      <w:tblGrid>
        <w:gridCol w:w="1940"/>
        <w:gridCol w:w="75"/>
      </w:tblGrid>
      <w:tr>
        <w:trPr/>
        <w:tc>
          <w:tcPr>
            <w:tcW w:w="1940" w:type="dxa"/>
            <w:tcBorders>
              <w:bottom w:val="single" w:sz="8" w:space="0" w:color="000000"/>
            </w:tcBorders>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center"/>
              <w:rPr>
                <w:sz w:val="20"/>
              </w:rPr>
            </w:pPr>
            <w:r>
              <w:rPr>
                <w:sz w:val="20"/>
              </w:rPr>
              <w:t>(Legal Name of Holder)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1015" w:type="dxa"/>
        <w:jc w:val="left"/>
        <w:tblInd w:w="0" w:type="dxa"/>
        <w:tblLayout w:type="fixed"/>
        <w:tblCellMar>
          <w:top w:w="0" w:type="dxa"/>
          <w:left w:w="0" w:type="dxa"/>
          <w:bottom w:w="0" w:type="dxa"/>
          <w:right w:w="0" w:type="dxa"/>
        </w:tblCellMar>
      </w:tblPr>
      <w:tblGrid>
        <w:gridCol w:w="335"/>
        <w:gridCol w:w="545"/>
        <w:gridCol w:w="60"/>
        <w:gridCol w:w="75"/>
      </w:tblGrid>
      <w:tr>
        <w:trPr/>
        <w:tc>
          <w:tcPr>
            <w:tcW w:w="335" w:type="dxa"/>
            <w:tcBorders/>
            <w:vAlign w:val="center"/>
          </w:tcPr>
          <w:p>
            <w:pPr>
              <w:pStyle w:val="TableContents"/>
              <w:bidi w:val="0"/>
              <w:spacing w:before="0" w:after="283"/>
              <w:jc w:val="both"/>
              <w:rPr>
                <w:sz w:val="20"/>
              </w:rPr>
            </w:pPr>
            <w:r>
              <w:rPr>
                <w:sz w:val="20"/>
              </w:rPr>
              <w:t>By:</w:t>
            </w:r>
          </w:p>
        </w:tc>
        <w:tc>
          <w:tcPr>
            <w:tcW w:w="605" w:type="dxa"/>
            <w:gridSpan w:val="2"/>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245" w:type="dxa"/>
        <w:jc w:val="left"/>
        <w:tblInd w:w="0" w:type="dxa"/>
        <w:tblLayout w:type="fixed"/>
        <w:tblCellMar>
          <w:top w:w="0" w:type="dxa"/>
          <w:left w:w="0" w:type="dxa"/>
          <w:bottom w:w="28" w:type="dxa"/>
          <w:right w:w="0" w:type="dxa"/>
        </w:tblCellMar>
      </w:tblPr>
      <w:tblGrid>
        <w:gridCol w:w="3170"/>
        <w:gridCol w:w="75"/>
      </w:tblGrid>
      <w:tr>
        <w:trPr/>
        <w:tc>
          <w:tcPr>
            <w:tcW w:w="3170" w:type="dxa"/>
            <w:tcBorders>
              <w:bottom w:val="single" w:sz="8" w:space="0" w:color="000000"/>
            </w:tcBorders>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170" w:type="dxa"/>
            <w:tcBorders/>
            <w:tcMar>
              <w:bottom w:w="0" w:type="dxa"/>
            </w:tcMar>
            <w:vAlign w:val="center"/>
          </w:tcPr>
          <w:p>
            <w:pPr>
              <w:pStyle w:val="TableContents"/>
              <w:bidi w:val="0"/>
              <w:spacing w:before="0" w:after="283"/>
              <w:jc w:val="center"/>
              <w:rPr>
                <w:sz w:val="20"/>
              </w:rPr>
            </w:pPr>
            <w:r>
              <w:rPr>
                <w:sz w:val="20"/>
              </w:rPr>
              <w:t>(Participant in a Recognized Signature</w:t>
            </w:r>
          </w:p>
        </w:tc>
        <w:tc>
          <w:tcPr>
            <w:tcW w:w="75" w:type="dxa"/>
            <w:tcBorders/>
            <w:tcMar>
              <w:bottom w:w="0" w:type="dxa"/>
            </w:tcMar>
            <w:vAlign w:val="center"/>
          </w:tcPr>
          <w:p>
            <w:pPr>
              <w:pStyle w:val="TableContents"/>
              <w:bidi w:val="0"/>
              <w:spacing w:before="0" w:after="283"/>
              <w:jc w:val="left"/>
              <w:rPr/>
            </w:pPr>
            <w:r>
              <w:rPr/>
              <w:t> </w:t>
            </w:r>
          </w:p>
        </w:tc>
      </w:tr>
      <w:tr>
        <w:trPr/>
        <w:tc>
          <w:tcPr>
            <w:tcW w:w="3170" w:type="dxa"/>
            <w:tcBorders/>
            <w:tcMar>
              <w:bottom w:w="0" w:type="dxa"/>
            </w:tcMar>
            <w:vAlign w:val="center"/>
          </w:tcPr>
          <w:p>
            <w:pPr>
              <w:pStyle w:val="TableContents"/>
              <w:bidi w:val="0"/>
              <w:spacing w:before="0" w:after="283"/>
              <w:jc w:val="center"/>
              <w:rPr>
                <w:sz w:val="20"/>
              </w:rPr>
            </w:pPr>
            <w:r>
              <w:rPr>
                <w:sz w:val="20"/>
              </w:rPr>
              <w:t>Guarantee Medallion Program)</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both"/>
              <w:rPr>
                <w:sz w:val="20"/>
              </w:rPr>
            </w:pPr>
            <w:r>
              <w:rPr>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1775" w:type="dxa"/>
            <w:tcBorders/>
            <w:vAlign w:val="center"/>
          </w:tcPr>
          <w:p>
            <w:pPr>
              <w:pStyle w:val="TableContents"/>
              <w:bidi w:val="0"/>
              <w:spacing w:before="0" w:after="283"/>
              <w:jc w:val="center"/>
              <w:rPr>
                <w:sz w:val="20"/>
              </w:rPr>
            </w:pPr>
            <w:r>
              <w:rPr>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TRANSFEREE 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w:t>
      </w:r>
    </w:p>
    <w:p>
      <w:pPr>
        <w:pStyle w:val="TextBody"/>
        <w:bidi w:val="0"/>
        <w:spacing w:before="0" w:after="0"/>
        <w:ind w:left="0" w:right="0" w:hanging="0"/>
        <w:jc w:val="both"/>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both"/>
              <w:rPr>
                <w:sz w:val="20"/>
              </w:rPr>
            </w:pPr>
            <w:r>
              <w:rPr>
                <w:sz w:val="20"/>
              </w:rPr>
              <w:t>Dated:</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790" w:type="dxa"/>
        <w:jc w:val="left"/>
        <w:tblInd w:w="0" w:type="dxa"/>
        <w:tblLayout w:type="fixed"/>
        <w:tblCellMar>
          <w:top w:w="0" w:type="dxa"/>
          <w:left w:w="0" w:type="dxa"/>
          <w:bottom w:w="28" w:type="dxa"/>
          <w:right w:w="0" w:type="dxa"/>
        </w:tblCellMar>
      </w:tblPr>
      <w:tblGrid>
        <w:gridCol w:w="1715"/>
        <w:gridCol w:w="75"/>
      </w:tblGrid>
      <w:tr>
        <w:trPr/>
        <w:tc>
          <w:tcPr>
            <w:tcW w:w="171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center"/>
              <w:rPr>
                <w:sz w:val="20"/>
              </w:rPr>
            </w:pPr>
            <w:r>
              <w:rPr>
                <w:sz w:val="20"/>
              </w:rPr>
              <w:t>(Name of Transferee)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335"/>
        <w:gridCol w:w="545"/>
        <w:gridCol w:w="60"/>
        <w:gridCol w:w="75"/>
      </w:tblGrid>
      <w:tr>
        <w:trPr/>
        <w:tc>
          <w:tcPr>
            <w:tcW w:w="335" w:type="dxa"/>
            <w:tcBorders/>
            <w:vAlign w:val="center"/>
          </w:tcPr>
          <w:p>
            <w:pPr>
              <w:pStyle w:val="TableContents"/>
              <w:bidi w:val="0"/>
              <w:spacing w:before="0" w:after="283"/>
              <w:jc w:val="both"/>
              <w:rPr>
                <w:sz w:val="20"/>
              </w:rPr>
            </w:pPr>
            <w:r>
              <w:rPr>
                <w:sz w:val="20"/>
              </w:rPr>
              <w:t>By:</w:t>
            </w:r>
          </w:p>
        </w:tc>
        <w:tc>
          <w:tcPr>
            <w:tcW w:w="605" w:type="dxa"/>
            <w:gridSpan w:val="2"/>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RESTRICTED NOTE LEGEND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20"/>
              </w:rPr>
            </w:pPr>
            <w:r>
              <w:rPr>
                <w:sz w:val="20"/>
              </w:rPr>
              <w:t>(1)</w:t>
            </w:r>
          </w:p>
        </w:tc>
        <w:tc>
          <w:tcPr>
            <w:tcW w:w="9963" w:type="dxa"/>
            <w:tcBorders/>
            <w:vAlign w:val="center"/>
          </w:tcPr>
          <w:p>
            <w:pPr>
              <w:pStyle w:val="TableContents"/>
              <w:bidi w:val="0"/>
              <w:spacing w:before="0" w:after="283"/>
              <w:jc w:val="both"/>
              <w:rPr>
                <w:sz w:val="20"/>
              </w:rPr>
            </w:pPr>
            <w:r>
              <w:rPr>
                <w:sz w:val="20"/>
              </w:rPr>
              <w:t>REPRESENTS THAT IT AND ANY ACCOUNT FOR WHICH IT IS ACTING IS A “QUALIFIED INSTITUTIONAL BUYER” (WITHIN THE MEANING OF RULE 144A UNDER THE SECURITIES ACT) AND THAT IT EXERCISES SOLE INVESTMENT DISCRETION WITH RESPECT TO EACH SUCH ACCOUNT;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20"/>
              </w:rPr>
            </w:pPr>
            <w:r>
              <w:rPr>
                <w:sz w:val="20"/>
              </w:rPr>
              <w:t>(2)</w:t>
            </w:r>
          </w:p>
        </w:tc>
        <w:tc>
          <w:tcPr>
            <w:tcW w:w="9947" w:type="dxa"/>
            <w:tcBorders/>
            <w:vAlign w:val="center"/>
          </w:tcPr>
          <w:p>
            <w:pPr>
              <w:pStyle w:val="TableContents"/>
              <w:bidi w:val="0"/>
              <w:spacing w:before="0" w:after="283"/>
              <w:jc w:val="both"/>
              <w:rPr>
                <w:sz w:val="20"/>
              </w:rPr>
            </w:pPr>
            <w:r>
              <w:rPr>
                <w:sz w:val="20"/>
              </w:rPr>
              <w:t>AGREES FOR THE BENEFIT OF THE COMPANY THAT IT WILL NOT OFFER, SELL OR OTHERWISE TRANSFER THIS NOTE OR ANY BENEFICIAL INTEREST HEREIN, EXCEPT ONLY: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566"/>
        <w:gridCol w:w="9561"/>
      </w:tblGrid>
      <w:tr>
        <w:trPr/>
        <w:tc>
          <w:tcPr>
            <w:tcW w:w="7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20"/>
              </w:rPr>
            </w:pPr>
            <w:r>
              <w:rPr>
                <w:sz w:val="20"/>
              </w:rPr>
              <w:t>(A)</w:t>
            </w:r>
          </w:p>
        </w:tc>
        <w:tc>
          <w:tcPr>
            <w:tcW w:w="9561" w:type="dxa"/>
            <w:tcBorders/>
            <w:vAlign w:val="center"/>
          </w:tcPr>
          <w:p>
            <w:pPr>
              <w:pStyle w:val="TableContents"/>
              <w:bidi w:val="0"/>
              <w:spacing w:before="0" w:after="283"/>
              <w:jc w:val="both"/>
              <w:rPr>
                <w:sz w:val="20"/>
              </w:rPr>
            </w:pPr>
            <w:r>
              <w:rPr>
                <w:sz w:val="20"/>
              </w:rPr>
              <w:t>TO THE COMPANY OR ANY SUBSIDIARY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10"/>
        <w:gridCol w:w="9853"/>
      </w:tblGrid>
      <w:tr>
        <w:trPr/>
        <w:tc>
          <w:tcPr>
            <w:tcW w:w="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20"/>
              </w:rPr>
            </w:pPr>
            <w:r>
              <w:rPr>
                <w:sz w:val="20"/>
              </w:rPr>
              <w:t>(B)</w:t>
            </w:r>
          </w:p>
        </w:tc>
        <w:tc>
          <w:tcPr>
            <w:tcW w:w="9853" w:type="dxa"/>
            <w:tcBorders/>
            <w:vAlign w:val="center"/>
          </w:tcPr>
          <w:p>
            <w:pPr>
              <w:pStyle w:val="TableContents"/>
              <w:bidi w:val="0"/>
              <w:spacing w:before="0" w:after="283"/>
              <w:jc w:val="both"/>
              <w:rPr>
                <w:sz w:val="20"/>
              </w:rPr>
            </w:pPr>
            <w:r>
              <w:rPr>
                <w:sz w:val="20"/>
              </w:rPr>
              <w:t>PURSUANT TO A REGISTRATION STATEMENT THAT IS EFFECTIVE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20"/>
              </w:rPr>
            </w:pPr>
            <w:r>
              <w:rPr>
                <w:sz w:val="20"/>
              </w:rPr>
              <w:t>(C)</w:t>
            </w:r>
          </w:p>
        </w:tc>
        <w:tc>
          <w:tcPr>
            <w:tcW w:w="9911" w:type="dxa"/>
            <w:tcBorders/>
            <w:vAlign w:val="center"/>
          </w:tcPr>
          <w:p>
            <w:pPr>
              <w:pStyle w:val="TableContents"/>
              <w:bidi w:val="0"/>
              <w:spacing w:before="0" w:after="283"/>
              <w:jc w:val="both"/>
              <w:rPr>
                <w:sz w:val="20"/>
              </w:rPr>
            </w:pPr>
            <w:r>
              <w:rPr>
                <w:sz w:val="20"/>
              </w:rPr>
              <w:t>TO A PERSON REASONABLY BELIEVED TO BE A QUALIFIED INSTITUTIONAL BUYER IN COMPLIANCE WITH RULE 144A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497"/>
        <w:gridCol w:w="9640"/>
      </w:tblGrid>
      <w:tr>
        <w:trPr/>
        <w:tc>
          <w:tcPr>
            <w:tcW w:w="6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20"/>
              </w:rPr>
            </w:pPr>
            <w:r>
              <w:rPr>
                <w:sz w:val="20"/>
              </w:rPr>
              <w:t>(D)</w:t>
            </w:r>
          </w:p>
        </w:tc>
        <w:tc>
          <w:tcPr>
            <w:tcW w:w="9640" w:type="dxa"/>
            <w:tcBorders/>
            <w:vAlign w:val="center"/>
          </w:tcPr>
          <w:p>
            <w:pPr>
              <w:pStyle w:val="TableContents"/>
              <w:bidi w:val="0"/>
              <w:spacing w:before="0" w:after="283"/>
              <w:jc w:val="both"/>
              <w:rPr>
                <w:sz w:val="20"/>
              </w:rPr>
            </w:pPr>
            <w:r>
              <w:rPr>
                <w:sz w:val="20"/>
              </w:rPr>
              <w:t>PURSUANT TO RULE 144 UNDER THE SECURITIES ACT;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20"/>
              </w:rPr>
            </w:pPr>
            <w:r>
              <w:rPr>
                <w:sz w:val="20"/>
              </w:rPr>
              <w:t>(E)</w:t>
            </w:r>
          </w:p>
        </w:tc>
        <w:tc>
          <w:tcPr>
            <w:tcW w:w="9927" w:type="dxa"/>
            <w:tcBorders/>
            <w:vAlign w:val="center"/>
          </w:tcPr>
          <w:p>
            <w:pPr>
              <w:pStyle w:val="TableContents"/>
              <w:bidi w:val="0"/>
              <w:spacing w:before="0" w:after="283"/>
              <w:jc w:val="both"/>
              <w:rPr>
                <w:sz w:val="20"/>
              </w:rPr>
            </w:pPr>
            <w:r>
              <w:rPr>
                <w:sz w:val="20"/>
              </w:rPr>
              <w:t>PURSUANT TO ANY OTHER EXEMPTION FROM, OR IN A TRANSACTION NOT SUBJECT TO, THE REGISTRATION REQUIREMENTS OF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REGISTRATION OF ANY SALE OR TRANSFER IN ACCORDANCE WITH (2)(D) OR (E) ABOVE, THE COMPANY AND THE TRUSTEE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r>
        <w:rPr>
          <w:rFonts w:ascii="Times New Roman;Times;Serif" w:hAnsi="Times New Roman;Times;Serif"/>
          <w:b w:val="false"/>
          <w:i w:val="false"/>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osition w:val="7"/>
                <w:sz w:val="16"/>
                <w:sz w:val="20"/>
              </w:rPr>
            </w:pPr>
            <w:r>
              <w:rPr>
                <w:position w:val="7"/>
                <w:sz w:val="16"/>
                <w:sz w:val="20"/>
              </w:rPr>
              <w:t>*</w:t>
            </w:r>
          </w:p>
        </w:tc>
        <w:tc>
          <w:tcPr>
            <w:tcW w:w="10057" w:type="dxa"/>
            <w:tcBorders/>
            <w:vAlign w:val="center"/>
          </w:tcPr>
          <w:p>
            <w:pPr>
              <w:pStyle w:val="TableContents"/>
              <w:bidi w:val="0"/>
              <w:spacing w:before="0" w:after="283"/>
              <w:jc w:val="left"/>
              <w:rPr>
                <w:sz w:val="20"/>
              </w:rPr>
            </w:pPr>
            <w:r>
              <w:rPr>
                <w:sz w:val="20"/>
              </w:rPr>
              <w:t>This paragraph and the immediately preceding paragraph will be deemed to be removed from the face of this Note at such time when the Company delivers written notice to the Trustee of such deemed removal pursuant to ‎Section 2.12 of the within-mentioned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GLOBAL NOTE LEGEND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NON-AFFILIATE LEGEND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AFFILIATE (AS DEFINED IN RULE 144 UNDER THE SECURITIES ACT OF 1933, AS AMENDED) OF THE COMPANY MAY PURCHASE OR OTHERWISE ACQUIRE THIS NOTE OR ANY BENEFICIAL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B3-1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bookmarkStart w:id="24" w:name="dp216536_ex1001.htm"/>
      <w:bookmarkStart w:id="25" w:name="ksdp216536_ex1001"/>
      <w:bookmarkEnd w:id="24"/>
      <w:bookmarkEnd w:id="25"/>
      <w:r>
        <w:rPr/>
        <w:t> </w:t>
      </w:r>
      <w:r>
        <w:br w:type="page"/>
      </w:r>
    </w:p>
    <w:p>
      <w:pPr>
        <w:pStyle w:val="TextBody"/>
        <w:bidi w:val="0"/>
        <w:spacing w:before="0" w:after="0"/>
        <w:ind w:left="0" w:right="0" w:hanging="0"/>
        <w:jc w:val="right"/>
        <w:rPr>
          <w:b/>
        </w:rPr>
      </w:pPr>
      <w:r>
        <w:rPr>
          <w:b/>
        </w:rPr>
        <w:t>Exhibit 10.1</w:t>
      </w:r>
    </w:p>
    <w:p>
      <w:pPr>
        <w:pStyle w:val="TextBody"/>
        <w:bidi w:val="0"/>
        <w:spacing w:before="0" w:after="0"/>
        <w:ind w:left="0" w:right="0" w:hanging="0"/>
        <w:jc w:val="righ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0" w:firstLine="47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[____], 2024</w:t>
      </w:r>
    </w:p>
    <w:p>
      <w:pPr>
        <w:pStyle w:val="TextBody"/>
        <w:bidi w:val="0"/>
        <w:spacing w:before="0" w:after="0"/>
        <w:ind w:left="108" w:right="0" w:firstLine="4783"/>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365"/>
        <w:gridCol w:w="4580"/>
      </w:tblGrid>
      <w:tr>
        <w:trPr/>
        <w:tc>
          <w:tcPr>
            <w:tcW w:w="365" w:type="dxa"/>
            <w:tcBorders/>
            <w:vAlign w:val="center"/>
          </w:tcPr>
          <w:p>
            <w:pPr>
              <w:pStyle w:val="TableContents"/>
              <w:bidi w:val="0"/>
              <w:spacing w:before="0" w:after="283"/>
              <w:jc w:val="left"/>
              <w:rPr/>
            </w:pPr>
            <w:r>
              <w:rPr/>
              <w:t>To:</w:t>
            </w:r>
          </w:p>
        </w:tc>
        <w:tc>
          <w:tcPr>
            <w:tcW w:w="4580" w:type="dxa"/>
            <w:tcBorders/>
            <w:vAlign w:val="center"/>
          </w:tcPr>
          <w:p>
            <w:pPr>
              <w:pStyle w:val="TableContents"/>
              <w:bidi w:val="0"/>
              <w:spacing w:before="0" w:after="283"/>
              <w:jc w:val="left"/>
              <w:rPr/>
            </w:pPr>
            <w:r>
              <w:rPr/>
              <w:t>ANI Pharmaceuticals, Inc.</w:t>
            </w:r>
          </w:p>
        </w:tc>
      </w:tr>
      <w:tr>
        <w:trPr/>
        <w:tc>
          <w:tcPr>
            <w:tcW w:w="36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210 Main Street West</w:t>
            </w:r>
          </w:p>
        </w:tc>
      </w:tr>
      <w:tr>
        <w:trPr/>
        <w:tc>
          <w:tcPr>
            <w:tcW w:w="36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Baudette, Minnesota 56623</w:t>
            </w:r>
          </w:p>
        </w:tc>
      </w:tr>
      <w:tr>
        <w:trPr/>
        <w:tc>
          <w:tcPr>
            <w:tcW w:w="36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Attention: Legal Department – General Counsel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[Base][Additional] Call Option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letter agreement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confirm the terms and conditions of the call option transaction entered into between [DEALER]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ANI Pharmaceuticals,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as of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definitions and provisions contained in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are incorporated into this Confirmation. In the event of any inconsistency between the Equity Definitions and this Confirmation, this Confirmation shall govern. Certain defined terms used herein are based on terms that are defined in the Offering Memorandum dated August [______], 2024 (the “</w:t>
      </w:r>
      <w:r>
        <w:rPr>
          <w:rFonts w:ascii="Times New Roman;Times;Serif" w:hAnsi="Times New Roman;Times;Serif"/>
          <w:b/>
          <w:i w:val="false"/>
          <w:caps w:val="false"/>
          <w:smallCaps w:val="false"/>
          <w:sz w:val="20"/>
        </w:rPr>
        <w:t>Offering Memorandum</w:t>
      </w:r>
      <w:r>
        <w:rPr>
          <w:rFonts w:ascii="Times New Roman;Times;Serif" w:hAnsi="Times New Roman;Times;Serif"/>
          <w:b w:val="false"/>
          <w:i w:val="false"/>
          <w:caps w:val="false"/>
          <w:smallCaps w:val="false"/>
          <w:sz w:val="20"/>
        </w:rPr>
        <w:t>”) relating to the [__]% Convertible Senior Notes due 2029 (as originally issued by Counterparty, the “</w:t>
      </w:r>
      <w:r>
        <w:rPr>
          <w:rFonts w:ascii="Times New Roman;Times;Serif" w:hAnsi="Times New Roman;Times;Serif"/>
          <w:b/>
          <w:i w:val="false"/>
          <w:caps w:val="false"/>
          <w:smallCaps w:val="false"/>
          <w:sz w:val="20"/>
        </w:rPr>
        <w:t>Convertible Notes</w:t>
      </w:r>
      <w:r>
        <w:rPr>
          <w:rFonts w:ascii="Times New Roman;Times;Serif" w:hAnsi="Times New Roman;Times;Serif"/>
          <w:b w:val="false"/>
          <w:i w:val="false"/>
          <w:caps w:val="false"/>
          <w:smallCaps w:val="false"/>
          <w:sz w:val="20"/>
        </w:rPr>
        <w:t>” and each USD 1,000 principal amount of Convertible Notes, a “</w:t>
      </w:r>
      <w:r>
        <w:rPr>
          <w:rFonts w:ascii="Times New Roman;Times;Serif" w:hAnsi="Times New Roman;Times;Serif"/>
          <w:b/>
          <w:i w:val="false"/>
          <w:caps w:val="false"/>
          <w:smallCaps w:val="false"/>
          <w:sz w:val="20"/>
        </w:rPr>
        <w:t>Convertible Note</w:t>
      </w:r>
      <w:r>
        <w:rPr>
          <w:rFonts w:ascii="Times New Roman;Times;Serif" w:hAnsi="Times New Roman;Times;Serif"/>
          <w:b w:val="false"/>
          <w:i w:val="false"/>
          <w:caps w:val="false"/>
          <w:smallCaps w:val="false"/>
          <w:sz w:val="20"/>
        </w:rPr>
        <w:t>”) issued by Counterparty in an aggregate initial principal amount of USD [______] (as increased by [up to]</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an aggregate principal amount of USD [______] [if and to the extent that]</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[pursuant to the exercise by]</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the Initial Purchasers (as defined herein) [exercise]</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[of]</w:t>
      </w:r>
      <w:r>
        <w:rPr>
          <w:rFonts w:ascii="Times New Roman;Times;Serif" w:hAnsi="Times New Roman;Times;Serif"/>
          <w:b w:val="false"/>
          <w:i w:val="false"/>
          <w:caps w:val="false"/>
          <w:smallCaps w:val="false"/>
          <w:position w:val="7"/>
          <w:sz w:val="16"/>
          <w:sz w:val="20"/>
        </w:rPr>
        <w:t xml:space="preserve">6 </w:t>
      </w:r>
      <w:r>
        <w:rPr>
          <w:rFonts w:ascii="Times New Roman;Times;Serif" w:hAnsi="Times New Roman;Times;Serif"/>
          <w:b w:val="false"/>
          <w:i w:val="false"/>
          <w:caps w:val="false"/>
          <w:smallCaps w:val="false"/>
          <w:sz w:val="20"/>
        </w:rPr>
        <w:t>their option to purchase additional Convertible Notes pursuant to the Purchase Agreement (as defined herein)) pursuant to an Indenture [to be]</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dated August [_______], 2024 between Counterparty and U.S. Bank Trust Company, National Association, as trustee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that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and cross-references used herein are based on the [draft of the Indenture last reviewed by Dealer as of the date of this Confirmation, and if any such section numbers or cross-references are changed in the Indenture as executed, the parties will amend this Confirmation in good faith to preserve the intent of the parties]</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[Indenture as executed]</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Subject to the foregoing, references to the Indenture herein are references to the Indenture as in effect [on the date hereof and] on the date of its execution, and if the Indenture is amended or supplemented following such date (other than any amendment or supplement (x) pursuant to Section [   ]</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of the Indenture that, as determined by the Calculation Agent, conforms the Indenture to the description of Convertible Notes in the Offering Memorandum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Include Dealer name, address and, if applicable, logo.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 in the Base Call Option Confirmation.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Include in the Base Call Option Confirmation.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Include in the Additional Call Option Confirmation.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Include in the Base Call Option Confirmation.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Include in the Additional Call Option Confirmation.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Insert if Indenture is not completed at the time of the Confirmation.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Include in the Base Call Option Confirmation. Include in the Additional Call Option Confirmation if it is executed before closing of the base deal.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Include in the Additional Call Option Confirmation, but only if the Additional Call Option Confirmation is executed after closing of the base deal.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Include cross-reference to Indenture section permitting amendments without holder consent to conform the Indenture to the Description of Notes.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pursuant to Section [   ]</w:t>
      </w:r>
      <w:r>
        <w:rPr>
          <w:rFonts w:ascii="Times New Roman;Times;Serif" w:hAnsi="Times New Roman;Times;Serif"/>
          <w:b w:val="false"/>
          <w:i w:val="false"/>
          <w:caps w:val="false"/>
          <w:smallCaps w:val="false"/>
          <w:position w:val="7"/>
          <w:sz w:val="16"/>
          <w:sz w:val="20"/>
        </w:rPr>
        <w:t xml:space="preserve">11 </w:t>
      </w:r>
      <w:r>
        <w:rPr>
          <w:rFonts w:ascii="Times New Roman;Times;Serif" w:hAnsi="Times New Roman;Times;Serif"/>
          <w:b w:val="false"/>
          <w:i w:val="false"/>
          <w:caps w:val="false"/>
          <w:smallCaps w:val="false"/>
          <w:sz w:val="20"/>
        </w:rPr>
        <w:t>of the Indenture, subject, in the case of this clause (y), to the second paragraph under “Method of Adjustment” in Section ‎3 of this Confirmation), any such amendment or supplement will be disregarded for purposes of this Confirmation unless the parties agree otherwise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1.</w:t>
            </w:r>
          </w:p>
        </w:tc>
        <w:tc>
          <w:tcPr>
            <w:tcW w:w="10024" w:type="dxa"/>
            <w:tcBorders/>
            <w:vAlign w:val="center"/>
          </w:tcPr>
          <w:p>
            <w:pPr>
              <w:pStyle w:val="TableContents"/>
              <w:bidi w:val="0"/>
              <w:spacing w:before="0" w:after="283"/>
              <w:jc w:val="left"/>
              <w:rPr/>
            </w:pPr>
            <w:r>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b/>
              </w:rPr>
              <w:t>Agreement</w:t>
            </w:r>
            <w:r>
              <w:rPr/>
              <w:t>”) as if Dealer and Counterparty had executed an agreement in such form on the Trade Date (but without any Schedule except for (i) the election of the laws of the State of New York as the governing law (without reference to choice of law doctrine other than Sections 5-1401 and 5-1402 of the General Obligations Law)); (ii) the election of US Dollars as the Termination Currency; and (iii) the election that the “Cross Default” provisions of Section 5(a)(vi) of the Agreement shall apply to Dealer with a “Threshold Amount” of three percent of Dealer’s shareholders’ equity</w:t>
            </w:r>
            <w:r>
              <w:rPr>
                <w:position w:val="8"/>
                <w:sz w:val="19"/>
              </w:rPr>
              <w:t>12</w:t>
            </w:r>
            <w:r>
              <w:rPr/>
              <w:t xml:space="preserve">; </w:t>
            </w:r>
            <w:r>
              <w:rPr>
                <w:i/>
              </w:rPr>
              <w:t>provided</w:t>
            </w:r>
            <w:r>
              <w:rPr/>
              <w:t xml:space="preserve"> that (A) “Specified Indebtedness” shall not include obligations in respect of deposits received in the ordinary course of Dealer’s banking business, (B) the phrase “or becoming capable at such time of being declared” shall be deleted from clause (1) of such Section 5(a)(vi), and (C) the following language shall be added to the end of such Section 5(a)(vi):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pStyle w:val="TextBody"/>
        <w:bidi w:val="0"/>
        <w:spacing w:before="0" w:after="0"/>
        <w:ind w:left="0" w:right="0" w:firstLine="72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20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8375" w:type="dxa"/>
            <w:tcBorders/>
            <w:vAlign w:val="center"/>
          </w:tcPr>
          <w:p>
            <w:pPr>
              <w:pStyle w:val="TableContents"/>
              <w:bidi w:val="0"/>
              <w:spacing w:before="0" w:after="283"/>
              <w:jc w:val="left"/>
              <w:rPr/>
            </w:pPr>
            <w:r>
              <w:rPr/>
              <w:t>The terms of the particular Transaction to which this Confirmation relates are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0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General Terms</w:t>
      </w:r>
      <w:r>
        <w:rPr>
          <w:rFonts w:ascii="Times New Roman;Times;Serif" w:hAnsi="Times New Roman;Times;Serif"/>
          <w:b w:val="false"/>
          <w:i w:val="false"/>
          <w:caps w:val="false"/>
          <w:smallCaps w:val="false"/>
          <w:sz w:val="20"/>
        </w:rPr>
        <w:t>.</w:t>
      </w:r>
    </w:p>
    <w:p>
      <w:pPr>
        <w:pStyle w:val="TextBody"/>
        <w:bidi w:val="0"/>
        <w:spacing w:before="0" w:after="0"/>
        <w:ind w:left="70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13"/>
        <w:gridCol w:w="8917"/>
      </w:tblGrid>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Trade Date:</w:t>
            </w:r>
          </w:p>
        </w:tc>
        <w:tc>
          <w:tcPr>
            <w:tcW w:w="8917" w:type="dxa"/>
            <w:tcBorders/>
            <w:vAlign w:val="center"/>
          </w:tcPr>
          <w:p>
            <w:pPr>
              <w:pStyle w:val="TableContents"/>
              <w:bidi w:val="0"/>
              <w:spacing w:before="0" w:after="283"/>
              <w:jc w:val="both"/>
              <w:rPr/>
            </w:pPr>
            <w:r>
              <w:rPr/>
              <w:t>August [_______], 2024</w:t>
            </w:r>
          </w:p>
        </w:tc>
      </w:tr>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Effective Date:</w:t>
            </w:r>
          </w:p>
        </w:tc>
        <w:tc>
          <w:tcPr>
            <w:tcW w:w="8917" w:type="dxa"/>
            <w:tcBorders/>
            <w:vAlign w:val="center"/>
          </w:tcPr>
          <w:p>
            <w:pPr>
              <w:pStyle w:val="TableContents"/>
              <w:bidi w:val="0"/>
              <w:spacing w:before="0" w:after="283"/>
              <w:jc w:val="both"/>
              <w:rPr/>
            </w:pPr>
            <w:r>
              <w:rPr/>
              <w:t>The third Exchange Business Day immediately prior to the Premium Payment Date, subject to Section 9(v) and Section 9(bb) of this Confirmation.</w:t>
            </w:r>
          </w:p>
        </w:tc>
      </w:tr>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Option Style:</w:t>
            </w:r>
          </w:p>
        </w:tc>
        <w:tc>
          <w:tcPr>
            <w:tcW w:w="8917" w:type="dxa"/>
            <w:tcBorders/>
            <w:vAlign w:val="center"/>
          </w:tcPr>
          <w:p>
            <w:pPr>
              <w:pStyle w:val="TableContents"/>
              <w:bidi w:val="0"/>
              <w:spacing w:before="0" w:after="283"/>
              <w:jc w:val="both"/>
              <w:rPr/>
            </w:pPr>
            <w:r>
              <w:rPr/>
              <w:t>“</w:t>
            </w:r>
            <w:r>
              <w:rPr/>
              <w:t>Modified American”, as described under “Procedures for Exercise” below</w:t>
            </w:r>
          </w:p>
        </w:tc>
      </w:tr>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Option Type:</w:t>
            </w:r>
          </w:p>
        </w:tc>
        <w:tc>
          <w:tcPr>
            <w:tcW w:w="8917" w:type="dxa"/>
            <w:tcBorders/>
            <w:vAlign w:val="center"/>
          </w:tcPr>
          <w:p>
            <w:pPr>
              <w:pStyle w:val="TableContents"/>
              <w:bidi w:val="0"/>
              <w:spacing w:before="0" w:after="283"/>
              <w:jc w:val="both"/>
              <w:rPr/>
            </w:pPr>
            <w:r>
              <w:rPr/>
              <w:t>Call</w:t>
            </w:r>
          </w:p>
        </w:tc>
      </w:tr>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Buyer:</w:t>
            </w:r>
          </w:p>
        </w:tc>
        <w:tc>
          <w:tcPr>
            <w:tcW w:w="8917" w:type="dxa"/>
            <w:tcBorders/>
            <w:vAlign w:val="center"/>
          </w:tcPr>
          <w:p>
            <w:pPr>
              <w:pStyle w:val="TableContents"/>
              <w:bidi w:val="0"/>
              <w:spacing w:before="0" w:after="283"/>
              <w:jc w:val="both"/>
              <w:rPr/>
            </w:pPr>
            <w:r>
              <w:rPr/>
              <w:t>Counterparty</w:t>
            </w:r>
          </w:p>
        </w:tc>
      </w:tr>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Seller:</w:t>
            </w:r>
          </w:p>
        </w:tc>
        <w:tc>
          <w:tcPr>
            <w:tcW w:w="8917" w:type="dxa"/>
            <w:tcBorders/>
            <w:vAlign w:val="center"/>
          </w:tcPr>
          <w:p>
            <w:pPr>
              <w:pStyle w:val="TableContents"/>
              <w:bidi w:val="0"/>
              <w:spacing w:before="0" w:after="283"/>
              <w:jc w:val="both"/>
              <w:rPr/>
            </w:pPr>
            <w:r>
              <w:rPr/>
              <w:t>Dealer</w:t>
            </w:r>
          </w:p>
        </w:tc>
      </w:tr>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Shares:</w:t>
            </w:r>
          </w:p>
        </w:tc>
        <w:tc>
          <w:tcPr>
            <w:tcW w:w="8917" w:type="dxa"/>
            <w:tcBorders/>
            <w:vAlign w:val="center"/>
          </w:tcPr>
          <w:p>
            <w:pPr>
              <w:pStyle w:val="TableContents"/>
              <w:bidi w:val="0"/>
              <w:spacing w:before="0" w:after="283"/>
              <w:jc w:val="both"/>
              <w:rPr/>
            </w:pPr>
            <w:r>
              <w:rPr/>
              <w:t>The common stock of Counterparty, par value USD 0.0001 per share (Exchange symbol “ANIP”).</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Include cross-reference to Indenture section relating to Merger Events.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To include a customary guarantee if Dealer is not the highest rated entity in group. To be updated to reflect references to Dealer’s Credit Support Provider if a guarantee will be provided.</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8"/>
        <w:gridCol w:w="8502"/>
      </w:tblGrid>
      <w:tr>
        <w:trPr/>
        <w:tc>
          <w:tcPr>
            <w:tcW w:w="75" w:type="dxa"/>
            <w:tcBorders/>
            <w:vAlign w:val="center"/>
          </w:tcPr>
          <w:p>
            <w:pPr>
              <w:pStyle w:val="TableContents"/>
              <w:bidi w:val="0"/>
              <w:spacing w:before="0" w:after="283"/>
              <w:ind w:left="0" w:right="0" w:hanging="0"/>
              <w:jc w:val="left"/>
              <w:rPr/>
            </w:pPr>
            <w:r>
              <w:rPr/>
              <w:t> </w:t>
            </w:r>
          </w:p>
        </w:tc>
        <w:tc>
          <w:tcPr>
            <w:tcW w:w="1628" w:type="dxa"/>
            <w:tcBorders/>
            <w:vAlign w:val="center"/>
          </w:tcPr>
          <w:p>
            <w:pPr>
              <w:pStyle w:val="TableContents"/>
              <w:bidi w:val="0"/>
              <w:spacing w:before="0" w:after="283"/>
              <w:ind w:left="0" w:right="0" w:hanging="0"/>
              <w:jc w:val="both"/>
              <w:rPr/>
            </w:pPr>
            <w:r>
              <w:rPr/>
              <w:t>Number of Options:</w:t>
            </w:r>
          </w:p>
        </w:tc>
        <w:tc>
          <w:tcPr>
            <w:tcW w:w="8502" w:type="dxa"/>
            <w:tcBorders/>
            <w:vAlign w:val="center"/>
          </w:tcPr>
          <w:p>
            <w:pPr>
              <w:pStyle w:val="TableContents"/>
              <w:bidi w:val="0"/>
              <w:spacing w:before="0" w:after="283"/>
              <w:jc w:val="both"/>
              <w:rPr/>
            </w:pPr>
            <w:r>
              <w:rPr/>
              <w:t>[_______]</w:t>
            </w:r>
            <w:r>
              <w:rPr>
                <w:position w:val="8"/>
                <w:sz w:val="19"/>
              </w:rPr>
              <w:t>13</w:t>
            </w:r>
            <w:r>
              <w:rPr/>
              <w:t>.  For the avoidance of doubt, the Number of Options shall be reduced by any Options exercised by Counterparty.  In no event will the Number of Options be less than zero.</w:t>
            </w:r>
          </w:p>
        </w:tc>
      </w:tr>
      <w:tr>
        <w:trPr/>
        <w:tc>
          <w:tcPr>
            <w:tcW w:w="75" w:type="dxa"/>
            <w:tcBorders/>
            <w:vAlign w:val="center"/>
          </w:tcPr>
          <w:p>
            <w:pPr>
              <w:pStyle w:val="TableContents"/>
              <w:bidi w:val="0"/>
              <w:spacing w:before="0" w:after="283"/>
              <w:ind w:left="0" w:right="0" w:hanging="0"/>
              <w:jc w:val="left"/>
              <w:rPr/>
            </w:pPr>
            <w:r>
              <w:rPr/>
              <w:t> </w:t>
            </w:r>
          </w:p>
        </w:tc>
        <w:tc>
          <w:tcPr>
            <w:tcW w:w="1628" w:type="dxa"/>
            <w:tcBorders/>
            <w:vAlign w:val="center"/>
          </w:tcPr>
          <w:p>
            <w:pPr>
              <w:pStyle w:val="TableContents"/>
              <w:bidi w:val="0"/>
              <w:spacing w:before="0" w:after="283"/>
              <w:ind w:left="0" w:right="0" w:hanging="0"/>
              <w:jc w:val="both"/>
              <w:rPr/>
            </w:pPr>
            <w:r>
              <w:rPr/>
              <w:t>Applicable Percentage:</w:t>
            </w:r>
          </w:p>
        </w:tc>
        <w:tc>
          <w:tcPr>
            <w:tcW w:w="8502" w:type="dxa"/>
            <w:tcBorders/>
            <w:vAlign w:val="center"/>
          </w:tcPr>
          <w:p>
            <w:pPr>
              <w:pStyle w:val="TableContents"/>
              <w:bidi w:val="0"/>
              <w:spacing w:before="0" w:after="283"/>
              <w:jc w:val="both"/>
              <w:rPr/>
            </w:pPr>
            <w:r>
              <w:rPr/>
              <w:t>[__]%</w:t>
            </w:r>
          </w:p>
        </w:tc>
      </w:tr>
      <w:tr>
        <w:trPr/>
        <w:tc>
          <w:tcPr>
            <w:tcW w:w="75" w:type="dxa"/>
            <w:tcBorders/>
            <w:vAlign w:val="center"/>
          </w:tcPr>
          <w:p>
            <w:pPr>
              <w:pStyle w:val="TableContents"/>
              <w:bidi w:val="0"/>
              <w:spacing w:before="0" w:after="283"/>
              <w:ind w:left="0" w:right="0" w:hanging="0"/>
              <w:jc w:val="left"/>
              <w:rPr/>
            </w:pPr>
            <w:r>
              <w:rPr/>
              <w:t> </w:t>
            </w:r>
          </w:p>
        </w:tc>
        <w:tc>
          <w:tcPr>
            <w:tcW w:w="1628" w:type="dxa"/>
            <w:tcBorders/>
            <w:vAlign w:val="center"/>
          </w:tcPr>
          <w:p>
            <w:pPr>
              <w:pStyle w:val="TableContents"/>
              <w:bidi w:val="0"/>
              <w:spacing w:before="0" w:after="283"/>
              <w:ind w:left="0" w:right="0" w:hanging="0"/>
              <w:jc w:val="both"/>
              <w:rPr/>
            </w:pPr>
            <w:r>
              <w:rPr/>
              <w:t>Option Entitlement:</w:t>
            </w:r>
          </w:p>
        </w:tc>
        <w:tc>
          <w:tcPr>
            <w:tcW w:w="8502" w:type="dxa"/>
            <w:tcBorders/>
            <w:vAlign w:val="center"/>
          </w:tcPr>
          <w:p>
            <w:pPr>
              <w:pStyle w:val="TableContents"/>
              <w:bidi w:val="0"/>
              <w:spacing w:before="0" w:after="283"/>
              <w:jc w:val="both"/>
              <w:rPr/>
            </w:pPr>
            <w:r>
              <w:rPr/>
              <w:t>A number equal to the product of the Applicable Percentage and [______]</w:t>
            </w:r>
            <w:r>
              <w:rPr>
                <w:position w:val="8"/>
                <w:sz w:val="19"/>
              </w:rPr>
              <w:t>14</w:t>
            </w:r>
            <w:r>
              <w:rPr/>
              <w:t>.</w:t>
            </w:r>
          </w:p>
        </w:tc>
      </w:tr>
      <w:tr>
        <w:trPr/>
        <w:tc>
          <w:tcPr>
            <w:tcW w:w="75" w:type="dxa"/>
            <w:tcBorders/>
            <w:vAlign w:val="center"/>
          </w:tcPr>
          <w:p>
            <w:pPr>
              <w:pStyle w:val="TableContents"/>
              <w:bidi w:val="0"/>
              <w:spacing w:before="0" w:after="283"/>
              <w:ind w:left="0" w:right="0" w:hanging="0"/>
              <w:jc w:val="left"/>
              <w:rPr/>
            </w:pPr>
            <w:r>
              <w:rPr/>
              <w:t> </w:t>
            </w:r>
          </w:p>
        </w:tc>
        <w:tc>
          <w:tcPr>
            <w:tcW w:w="1628" w:type="dxa"/>
            <w:tcBorders/>
            <w:vAlign w:val="center"/>
          </w:tcPr>
          <w:p>
            <w:pPr>
              <w:pStyle w:val="TableContents"/>
              <w:bidi w:val="0"/>
              <w:spacing w:before="0" w:after="283"/>
              <w:ind w:left="0" w:right="0" w:hanging="0"/>
              <w:jc w:val="both"/>
              <w:rPr/>
            </w:pPr>
            <w:r>
              <w:rPr/>
              <w:t>Strike Price:</w:t>
            </w:r>
          </w:p>
        </w:tc>
        <w:tc>
          <w:tcPr>
            <w:tcW w:w="8502" w:type="dxa"/>
            <w:tcBorders/>
            <w:vAlign w:val="center"/>
          </w:tcPr>
          <w:p>
            <w:pPr>
              <w:pStyle w:val="TableContents"/>
              <w:bidi w:val="0"/>
              <w:spacing w:before="0" w:after="283"/>
              <w:jc w:val="both"/>
              <w:rPr/>
            </w:pPr>
            <w:r>
              <w:rPr/>
              <w:t>USD [______]</w:t>
            </w:r>
          </w:p>
        </w:tc>
      </w:tr>
      <w:tr>
        <w:trPr/>
        <w:tc>
          <w:tcPr>
            <w:tcW w:w="75" w:type="dxa"/>
            <w:tcBorders/>
            <w:vAlign w:val="center"/>
          </w:tcPr>
          <w:p>
            <w:pPr>
              <w:pStyle w:val="TableContents"/>
              <w:bidi w:val="0"/>
              <w:spacing w:before="0" w:after="283"/>
              <w:ind w:left="0" w:right="0" w:hanging="0"/>
              <w:jc w:val="left"/>
              <w:rPr/>
            </w:pPr>
            <w:r>
              <w:rPr/>
              <w:t> </w:t>
            </w:r>
          </w:p>
        </w:tc>
        <w:tc>
          <w:tcPr>
            <w:tcW w:w="1628" w:type="dxa"/>
            <w:tcBorders/>
            <w:vAlign w:val="center"/>
          </w:tcPr>
          <w:p>
            <w:pPr>
              <w:pStyle w:val="TableContents"/>
              <w:bidi w:val="0"/>
              <w:spacing w:before="0" w:after="283"/>
              <w:ind w:left="0" w:right="0" w:hanging="0"/>
              <w:jc w:val="both"/>
              <w:rPr/>
            </w:pPr>
            <w:r>
              <w:rPr/>
              <w:t>Cap Price:</w:t>
            </w:r>
          </w:p>
        </w:tc>
        <w:tc>
          <w:tcPr>
            <w:tcW w:w="8502" w:type="dxa"/>
            <w:tcBorders/>
            <w:vAlign w:val="center"/>
          </w:tcPr>
          <w:p>
            <w:pPr>
              <w:pStyle w:val="TableContents"/>
              <w:bidi w:val="0"/>
              <w:spacing w:before="0" w:after="283"/>
              <w:jc w:val="both"/>
              <w:rPr/>
            </w:pPr>
            <w:r>
              <w:rPr/>
              <w:t>USD [______]</w:t>
            </w:r>
          </w:p>
        </w:tc>
      </w:tr>
      <w:tr>
        <w:trPr/>
        <w:tc>
          <w:tcPr>
            <w:tcW w:w="75" w:type="dxa"/>
            <w:tcBorders/>
            <w:vAlign w:val="center"/>
          </w:tcPr>
          <w:p>
            <w:pPr>
              <w:pStyle w:val="TableContents"/>
              <w:bidi w:val="0"/>
              <w:spacing w:before="0" w:after="283"/>
              <w:ind w:left="0" w:right="0" w:hanging="0"/>
              <w:jc w:val="left"/>
              <w:rPr/>
            </w:pPr>
            <w:r>
              <w:rPr/>
              <w:t> </w:t>
            </w:r>
          </w:p>
        </w:tc>
        <w:tc>
          <w:tcPr>
            <w:tcW w:w="1628" w:type="dxa"/>
            <w:tcBorders/>
            <w:vAlign w:val="center"/>
          </w:tcPr>
          <w:p>
            <w:pPr>
              <w:pStyle w:val="TableContents"/>
              <w:bidi w:val="0"/>
              <w:spacing w:before="0" w:after="283"/>
              <w:ind w:left="0" w:right="0" w:hanging="0"/>
              <w:jc w:val="both"/>
              <w:rPr/>
            </w:pPr>
            <w:r>
              <w:rPr/>
              <w:t>Premium:</w:t>
            </w:r>
          </w:p>
        </w:tc>
        <w:tc>
          <w:tcPr>
            <w:tcW w:w="8502" w:type="dxa"/>
            <w:tcBorders/>
            <w:vAlign w:val="center"/>
          </w:tcPr>
          <w:p>
            <w:pPr>
              <w:pStyle w:val="TableContents"/>
              <w:bidi w:val="0"/>
              <w:spacing w:before="0" w:after="283"/>
              <w:jc w:val="both"/>
              <w:rPr/>
            </w:pPr>
            <w:r>
              <w:rPr/>
              <w:t>USD [______]</w:t>
            </w:r>
          </w:p>
        </w:tc>
      </w:tr>
      <w:tr>
        <w:trPr/>
        <w:tc>
          <w:tcPr>
            <w:tcW w:w="75" w:type="dxa"/>
            <w:tcBorders/>
            <w:vAlign w:val="center"/>
          </w:tcPr>
          <w:p>
            <w:pPr>
              <w:pStyle w:val="TableContents"/>
              <w:bidi w:val="0"/>
              <w:spacing w:before="0" w:after="283"/>
              <w:ind w:left="0" w:right="0" w:hanging="0"/>
              <w:jc w:val="left"/>
              <w:rPr/>
            </w:pPr>
            <w:r>
              <w:rPr/>
              <w:t> </w:t>
            </w:r>
          </w:p>
        </w:tc>
        <w:tc>
          <w:tcPr>
            <w:tcW w:w="1628" w:type="dxa"/>
            <w:tcBorders/>
            <w:vAlign w:val="center"/>
          </w:tcPr>
          <w:p>
            <w:pPr>
              <w:pStyle w:val="TableContents"/>
              <w:bidi w:val="0"/>
              <w:spacing w:before="0" w:after="283"/>
              <w:ind w:left="0" w:right="0" w:hanging="0"/>
              <w:jc w:val="both"/>
              <w:rPr/>
            </w:pPr>
            <w:r>
              <w:rPr/>
              <w:t>Premium Payment Date:</w:t>
            </w:r>
          </w:p>
        </w:tc>
        <w:tc>
          <w:tcPr>
            <w:tcW w:w="8502" w:type="dxa"/>
            <w:tcBorders/>
            <w:vAlign w:val="center"/>
          </w:tcPr>
          <w:p>
            <w:pPr>
              <w:pStyle w:val="TableContents"/>
              <w:bidi w:val="0"/>
              <w:spacing w:before="0" w:after="283"/>
              <w:jc w:val="both"/>
              <w:rPr/>
            </w:pPr>
            <w:r>
              <w:rPr/>
              <w:t>August [______], 2024</w:t>
            </w:r>
            <w:r>
              <w:rPr>
                <w:position w:val="8"/>
                <w:sz w:val="19"/>
              </w:rPr>
              <w:t>15</w:t>
            </w:r>
          </w:p>
        </w:tc>
      </w:tr>
      <w:tr>
        <w:trPr/>
        <w:tc>
          <w:tcPr>
            <w:tcW w:w="75" w:type="dxa"/>
            <w:tcBorders/>
            <w:vAlign w:val="center"/>
          </w:tcPr>
          <w:p>
            <w:pPr>
              <w:pStyle w:val="TableContents"/>
              <w:bidi w:val="0"/>
              <w:spacing w:before="0" w:after="283"/>
              <w:ind w:left="0" w:right="0" w:hanging="0"/>
              <w:jc w:val="left"/>
              <w:rPr/>
            </w:pPr>
            <w:r>
              <w:rPr/>
              <w:t> </w:t>
            </w:r>
          </w:p>
        </w:tc>
        <w:tc>
          <w:tcPr>
            <w:tcW w:w="1628" w:type="dxa"/>
            <w:tcBorders/>
            <w:vAlign w:val="center"/>
          </w:tcPr>
          <w:p>
            <w:pPr>
              <w:pStyle w:val="TableContents"/>
              <w:bidi w:val="0"/>
              <w:spacing w:before="0" w:after="283"/>
              <w:ind w:left="0" w:right="0" w:hanging="0"/>
              <w:jc w:val="both"/>
              <w:rPr/>
            </w:pPr>
            <w:r>
              <w:rPr/>
              <w:t>Exchange:</w:t>
            </w:r>
          </w:p>
        </w:tc>
        <w:tc>
          <w:tcPr>
            <w:tcW w:w="8502" w:type="dxa"/>
            <w:tcBorders/>
            <w:vAlign w:val="center"/>
          </w:tcPr>
          <w:p>
            <w:pPr>
              <w:pStyle w:val="TableContents"/>
              <w:bidi w:val="0"/>
              <w:spacing w:before="0" w:after="283"/>
              <w:jc w:val="both"/>
              <w:rPr/>
            </w:pPr>
            <w:r>
              <w:rPr/>
              <w:t>The Nasdaq Global Market</w:t>
            </w:r>
          </w:p>
        </w:tc>
      </w:tr>
      <w:tr>
        <w:trPr/>
        <w:tc>
          <w:tcPr>
            <w:tcW w:w="75" w:type="dxa"/>
            <w:tcBorders/>
            <w:vAlign w:val="center"/>
          </w:tcPr>
          <w:p>
            <w:pPr>
              <w:pStyle w:val="TableContents"/>
              <w:bidi w:val="0"/>
              <w:spacing w:before="0" w:after="283"/>
              <w:ind w:left="0" w:right="0" w:hanging="0"/>
              <w:jc w:val="left"/>
              <w:rPr/>
            </w:pPr>
            <w:r>
              <w:rPr/>
              <w:t> </w:t>
            </w:r>
          </w:p>
        </w:tc>
        <w:tc>
          <w:tcPr>
            <w:tcW w:w="1628" w:type="dxa"/>
            <w:tcBorders/>
            <w:vAlign w:val="center"/>
          </w:tcPr>
          <w:p>
            <w:pPr>
              <w:pStyle w:val="TableContents"/>
              <w:bidi w:val="0"/>
              <w:spacing w:before="0" w:after="283"/>
              <w:ind w:left="0" w:right="0" w:hanging="0"/>
              <w:jc w:val="both"/>
              <w:rPr/>
            </w:pPr>
            <w:r>
              <w:rPr/>
              <w:t>Related Exchange(s):</w:t>
            </w:r>
          </w:p>
        </w:tc>
        <w:tc>
          <w:tcPr>
            <w:tcW w:w="8502" w:type="dxa"/>
            <w:tcBorders/>
            <w:vAlign w:val="center"/>
          </w:tcPr>
          <w:p>
            <w:pPr>
              <w:pStyle w:val="TableContents"/>
              <w:bidi w:val="0"/>
              <w:spacing w:before="0" w:after="283"/>
              <w:jc w:val="both"/>
              <w:rPr/>
            </w:pPr>
            <w:r>
              <w:rPr/>
              <w:t>All Exchanges.</w:t>
            </w:r>
          </w:p>
        </w:tc>
      </w:tr>
      <w:tr>
        <w:trPr/>
        <w:tc>
          <w:tcPr>
            <w:tcW w:w="75" w:type="dxa"/>
            <w:tcBorders/>
            <w:vAlign w:val="center"/>
          </w:tcPr>
          <w:p>
            <w:pPr>
              <w:pStyle w:val="TableContents"/>
              <w:bidi w:val="0"/>
              <w:spacing w:before="0" w:after="283"/>
              <w:ind w:left="0" w:right="0" w:hanging="0"/>
              <w:jc w:val="left"/>
              <w:rPr/>
            </w:pPr>
            <w:r>
              <w:rPr/>
              <w:t> </w:t>
            </w:r>
          </w:p>
        </w:tc>
        <w:tc>
          <w:tcPr>
            <w:tcW w:w="1628" w:type="dxa"/>
            <w:tcBorders/>
            <w:vAlign w:val="center"/>
          </w:tcPr>
          <w:p>
            <w:pPr>
              <w:pStyle w:val="TableContents"/>
              <w:bidi w:val="0"/>
              <w:spacing w:before="0" w:after="283"/>
              <w:ind w:left="0" w:right="0" w:hanging="0"/>
              <w:jc w:val="both"/>
              <w:rPr/>
            </w:pPr>
            <w:r>
              <w:rPr/>
              <w:t>Excluded Provisions:</w:t>
            </w:r>
          </w:p>
        </w:tc>
        <w:tc>
          <w:tcPr>
            <w:tcW w:w="8502" w:type="dxa"/>
            <w:tcBorders/>
            <w:vAlign w:val="center"/>
          </w:tcPr>
          <w:p>
            <w:pPr>
              <w:pStyle w:val="TableContents"/>
              <w:bidi w:val="0"/>
              <w:spacing w:before="0" w:after="283"/>
              <w:jc w:val="both"/>
              <w:rPr/>
            </w:pPr>
            <w:r>
              <w:rPr/>
              <w:t>Section [     ]</w:t>
            </w:r>
            <w:r>
              <w:rPr>
                <w:position w:val="8"/>
                <w:sz w:val="19"/>
              </w:rPr>
              <w:t xml:space="preserve">16 </w:t>
            </w:r>
            <w:r>
              <w:rPr/>
              <w:t>and Section [       ]</w:t>
            </w:r>
            <w:r>
              <w:rPr>
                <w:position w:val="8"/>
                <w:sz w:val="19"/>
              </w:rPr>
              <w:t>17</w:t>
            </w:r>
            <w:r>
              <w:rPr/>
              <w:t xml:space="preserve"> of the Indenture.</w:t>
            </w:r>
          </w:p>
        </w:tc>
      </w:tr>
    </w:tbl>
    <w:tbl>
      <w:tblPr>
        <w:tblW w:w="2525" w:type="dxa"/>
        <w:jc w:val="left"/>
        <w:tblInd w:w="0" w:type="dxa"/>
        <w:tblLayout w:type="fixed"/>
        <w:tblCellMar>
          <w:top w:w="0" w:type="dxa"/>
          <w:left w:w="0" w:type="dxa"/>
          <w:bottom w:w="0" w:type="dxa"/>
          <w:right w:w="0" w:type="dxa"/>
        </w:tblCellMar>
      </w:tblPr>
      <w:tblGrid>
        <w:gridCol w:w="75"/>
        <w:gridCol w:w="2375"/>
        <w:gridCol w:w="75"/>
      </w:tblGrid>
      <w:tr>
        <w:trPr/>
        <w:tc>
          <w:tcPr>
            <w:tcW w:w="7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both"/>
              <w:rPr/>
            </w:pPr>
            <w:r>
              <w:rPr>
                <w:i/>
                <w:u w:val="single"/>
              </w:rPr>
              <w:t>Procedures for Exercise</w:t>
            </w:r>
            <w:r>
              <w:rPr/>
              <w:t>.</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56"/>
        <w:gridCol w:w="8974"/>
      </w:tblGrid>
      <w:tr>
        <w:trPr/>
        <w:tc>
          <w:tcPr>
            <w:tcW w:w="75" w:type="dxa"/>
            <w:tcBorders/>
            <w:vAlign w:val="center"/>
          </w:tcPr>
          <w:p>
            <w:pPr>
              <w:pStyle w:val="TableContents"/>
              <w:bidi w:val="0"/>
              <w:spacing w:before="0" w:after="283"/>
              <w:ind w:left="0" w:right="0" w:hanging="0"/>
              <w:jc w:val="left"/>
              <w:rPr/>
            </w:pPr>
            <w:r>
              <w:rPr/>
              <w:t> </w:t>
            </w:r>
          </w:p>
        </w:tc>
        <w:tc>
          <w:tcPr>
            <w:tcW w:w="1156" w:type="dxa"/>
            <w:tcBorders/>
            <w:vAlign w:val="center"/>
          </w:tcPr>
          <w:p>
            <w:pPr>
              <w:pStyle w:val="TableContents"/>
              <w:bidi w:val="0"/>
              <w:spacing w:before="0" w:after="283"/>
              <w:ind w:left="0" w:right="0" w:hanging="0"/>
              <w:jc w:val="both"/>
              <w:rPr/>
            </w:pPr>
            <w:r>
              <w:rPr/>
              <w:t>Conversion Date:</w:t>
            </w:r>
          </w:p>
        </w:tc>
        <w:tc>
          <w:tcPr>
            <w:tcW w:w="8974" w:type="dxa"/>
            <w:tcBorders/>
            <w:vAlign w:val="center"/>
          </w:tcPr>
          <w:p>
            <w:pPr>
              <w:pStyle w:val="TableContents"/>
              <w:bidi w:val="0"/>
              <w:spacing w:before="0" w:after="283"/>
              <w:jc w:val="both"/>
              <w:rPr/>
            </w:pPr>
            <w:r>
              <w:rPr/>
              <w:t>With respect to any conversion of a Convertible Note (other than (x) any conversion of Convertible Notes with a Conversion Date occurring prior to the Free Convertibility Date or (y) any conversion of a Convertible Note in respect of which the “Holder” (as such term is defined in the Indenture) of such Convertible Note would be entitled to an increase in the Conversion Rate pursuant Section [    ]</w:t>
            </w:r>
            <w:r>
              <w:rPr>
                <w:position w:val="8"/>
                <w:sz w:val="19"/>
              </w:rPr>
              <w:t xml:space="preserve">18 </w:t>
            </w:r>
            <w:r>
              <w:rPr/>
              <w:t>of the Indenture (any such conversion described in clause (x) or clause (y), an “</w:t>
            </w:r>
            <w:r>
              <w:rPr>
                <w:b/>
              </w:rPr>
              <w:t>Early Conversion</w:t>
            </w:r>
            <w:r>
              <w:rPr/>
              <w:t>”), to which the provisions of Section ‎9(i)(i) of this Confirmation shall apply), the date on which the “Holder” (as such term is defined in the Indenture) of such Convertible Note satisfies all of the requirements for conversion thereof as set forth in Section [    ]</w:t>
            </w:r>
            <w:r>
              <w:rPr>
                <w:position w:val="8"/>
                <w:sz w:val="19"/>
              </w:rPr>
              <w:t>19</w:t>
            </w:r>
            <w:r>
              <w:rPr/>
              <w:t xml:space="preserve"> of the Indenture; </w:t>
            </w:r>
            <w:r>
              <w:rPr>
                <w:i/>
              </w:rPr>
              <w:t>provided</w:t>
            </w:r>
            <w:r>
              <w:rPr/>
              <w:t xml:space="preserve"> that if Counterparty has not delivered to Dealer a related Notice of Exercise, then in no event shall a Conversion Date be deemed to occur hereunder (and no Option shall be exercised or deemed to be exercised hereunder) with respect to any surrender of a Convertible Note for conversion in respect of which Counterparty has elected to</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For the Base Call Option Confirmation, this is equal to the number of Convertible Notes in principal amount of $1,000 initially issued on the closing date for the Convertible Notes. For the Additional Call Option Confirmation, this is equal to the number of additional Convertible Notes in principal amount of $1,000.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Insert the initial Conversion Rate for the Convertible Notes.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To be the closing date for the Convertible Notes (for the base transaction) and then the closing date for the exercise of the overallotment option (for the additional transaction).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Include cross-reference to section(s) of the Indenture containing discretionary adjustments to the Conversion Rate by Counterparty.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Include cross-reference to Indenture section(s) dealing with make-whole adjustments to the Conversion Rate.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Include cross-reference to Indenture section(s) dealing with make-whole adjustments to the Conversion Rate.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 xml:space="preserve"> Include cross-reference to section(s) of the Indenture setting forth the requirements for conversion of the Convertible Notes.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7"/>
        <w:gridCol w:w="8693"/>
      </w:tblGrid>
      <w:tr>
        <w:trPr/>
        <w:tc>
          <w:tcPr>
            <w:tcW w:w="75" w:type="dxa"/>
            <w:tcBorders/>
            <w:vAlign w:val="center"/>
          </w:tcPr>
          <w:p>
            <w:pPr>
              <w:pStyle w:val="TableContents"/>
              <w:bidi w:val="0"/>
              <w:spacing w:before="0" w:after="283"/>
              <w:ind w:left="0" w:right="0" w:hanging="0"/>
              <w:jc w:val="left"/>
              <w:rPr/>
            </w:pPr>
            <w:r>
              <w:rPr/>
              <w:t> </w:t>
            </w:r>
          </w:p>
        </w:tc>
        <w:tc>
          <w:tcPr>
            <w:tcW w:w="1437" w:type="dxa"/>
            <w:tcBorders/>
            <w:vAlign w:val="center"/>
          </w:tcPr>
          <w:p>
            <w:pPr>
              <w:pStyle w:val="TableContents"/>
              <w:bidi w:val="0"/>
              <w:spacing w:before="0" w:after="283"/>
              <w:ind w:left="0" w:right="0" w:hanging="0"/>
              <w:jc w:val="both"/>
              <w:rPr/>
            </w:pPr>
            <w:r>
              <w:rPr/>
              <w:t> </w:t>
            </w:r>
          </w:p>
        </w:tc>
        <w:tc>
          <w:tcPr>
            <w:tcW w:w="8693" w:type="dxa"/>
            <w:tcBorders/>
            <w:vAlign w:val="center"/>
          </w:tcPr>
          <w:p>
            <w:pPr>
              <w:pStyle w:val="TableContents"/>
              <w:bidi w:val="0"/>
              <w:spacing w:before="0" w:after="283"/>
              <w:jc w:val="both"/>
              <w:rPr/>
            </w:pPr>
            <w:r>
              <w:rPr/>
              <w:t>designate a financial institution for exchange in lieu of conversion of such Convertible Note pursuant to Section [  ]</w:t>
            </w:r>
            <w:r>
              <w:rPr>
                <w:position w:val="8"/>
                <w:sz w:val="19"/>
              </w:rPr>
              <w:t>20</w:t>
            </w:r>
            <w:r>
              <w:rPr/>
              <w:t xml:space="preserve"> of the Indenture.</w:t>
            </w:r>
          </w:p>
        </w:tc>
      </w:tr>
      <w:tr>
        <w:trPr/>
        <w:tc>
          <w:tcPr>
            <w:tcW w:w="75" w:type="dxa"/>
            <w:tcBorders/>
            <w:vAlign w:val="center"/>
          </w:tcPr>
          <w:p>
            <w:pPr>
              <w:pStyle w:val="TableContents"/>
              <w:bidi w:val="0"/>
              <w:spacing w:before="0" w:after="283"/>
              <w:ind w:left="0" w:right="0" w:hanging="0"/>
              <w:jc w:val="left"/>
              <w:rPr/>
            </w:pPr>
            <w:r>
              <w:rPr/>
              <w:t> </w:t>
            </w:r>
          </w:p>
        </w:tc>
        <w:tc>
          <w:tcPr>
            <w:tcW w:w="1437" w:type="dxa"/>
            <w:tcBorders/>
            <w:vAlign w:val="center"/>
          </w:tcPr>
          <w:p>
            <w:pPr>
              <w:pStyle w:val="TableContents"/>
              <w:bidi w:val="0"/>
              <w:spacing w:before="0" w:after="283"/>
              <w:ind w:left="0" w:right="0" w:hanging="0"/>
              <w:jc w:val="both"/>
              <w:rPr/>
            </w:pPr>
            <w:r>
              <w:rPr/>
              <w:t>Free Convertibility Date:</w:t>
            </w:r>
          </w:p>
        </w:tc>
        <w:tc>
          <w:tcPr>
            <w:tcW w:w="8693" w:type="dxa"/>
            <w:tcBorders/>
            <w:vAlign w:val="center"/>
          </w:tcPr>
          <w:p>
            <w:pPr>
              <w:pStyle w:val="TableContents"/>
              <w:bidi w:val="0"/>
              <w:spacing w:before="0" w:after="283"/>
              <w:jc w:val="both"/>
              <w:rPr/>
            </w:pPr>
            <w:r>
              <w:rPr/>
              <w:t>June 1, 2029</w:t>
            </w:r>
          </w:p>
        </w:tc>
      </w:tr>
      <w:tr>
        <w:trPr/>
        <w:tc>
          <w:tcPr>
            <w:tcW w:w="75" w:type="dxa"/>
            <w:tcBorders/>
            <w:vAlign w:val="center"/>
          </w:tcPr>
          <w:p>
            <w:pPr>
              <w:pStyle w:val="TableContents"/>
              <w:bidi w:val="0"/>
              <w:spacing w:before="0" w:after="283"/>
              <w:ind w:left="0" w:right="0" w:hanging="0"/>
              <w:jc w:val="left"/>
              <w:rPr/>
            </w:pPr>
            <w:r>
              <w:rPr/>
              <w:t> </w:t>
            </w:r>
          </w:p>
        </w:tc>
        <w:tc>
          <w:tcPr>
            <w:tcW w:w="1437" w:type="dxa"/>
            <w:tcBorders/>
            <w:vAlign w:val="center"/>
          </w:tcPr>
          <w:p>
            <w:pPr>
              <w:pStyle w:val="TableContents"/>
              <w:bidi w:val="0"/>
              <w:spacing w:before="0" w:after="283"/>
              <w:ind w:left="0" w:right="0" w:hanging="0"/>
              <w:jc w:val="both"/>
              <w:rPr/>
            </w:pPr>
            <w:r>
              <w:rPr/>
              <w:t>Expiration Time:</w:t>
            </w:r>
          </w:p>
        </w:tc>
        <w:tc>
          <w:tcPr>
            <w:tcW w:w="8693" w:type="dxa"/>
            <w:tcBorders/>
            <w:vAlign w:val="center"/>
          </w:tcPr>
          <w:p>
            <w:pPr>
              <w:pStyle w:val="TableContents"/>
              <w:bidi w:val="0"/>
              <w:spacing w:before="0" w:after="283"/>
              <w:jc w:val="both"/>
              <w:rPr/>
            </w:pPr>
            <w:r>
              <w:rPr/>
              <w:t>The Valuation Time</w:t>
            </w:r>
          </w:p>
        </w:tc>
      </w:tr>
      <w:tr>
        <w:trPr/>
        <w:tc>
          <w:tcPr>
            <w:tcW w:w="75" w:type="dxa"/>
            <w:tcBorders/>
            <w:vAlign w:val="center"/>
          </w:tcPr>
          <w:p>
            <w:pPr>
              <w:pStyle w:val="TableContents"/>
              <w:bidi w:val="0"/>
              <w:spacing w:before="0" w:after="283"/>
              <w:ind w:left="0" w:right="0" w:hanging="0"/>
              <w:jc w:val="left"/>
              <w:rPr/>
            </w:pPr>
            <w:r>
              <w:rPr/>
              <w:t> </w:t>
            </w:r>
          </w:p>
        </w:tc>
        <w:tc>
          <w:tcPr>
            <w:tcW w:w="1437" w:type="dxa"/>
            <w:tcBorders/>
            <w:vAlign w:val="center"/>
          </w:tcPr>
          <w:p>
            <w:pPr>
              <w:pStyle w:val="TableContents"/>
              <w:bidi w:val="0"/>
              <w:spacing w:before="0" w:after="283"/>
              <w:ind w:left="0" w:right="0" w:hanging="0"/>
              <w:jc w:val="both"/>
              <w:rPr/>
            </w:pPr>
            <w:r>
              <w:rPr/>
              <w:t>Expiration Date:</w:t>
            </w:r>
          </w:p>
        </w:tc>
        <w:tc>
          <w:tcPr>
            <w:tcW w:w="8693" w:type="dxa"/>
            <w:tcBorders/>
            <w:vAlign w:val="center"/>
          </w:tcPr>
          <w:p>
            <w:pPr>
              <w:pStyle w:val="TableContents"/>
              <w:bidi w:val="0"/>
              <w:spacing w:before="0" w:after="283"/>
              <w:jc w:val="both"/>
              <w:rPr/>
            </w:pPr>
            <w:r>
              <w:rPr/>
              <w:t>September 1, 2029, subject to earlier exercise.</w:t>
            </w:r>
          </w:p>
        </w:tc>
      </w:tr>
      <w:tr>
        <w:trPr/>
        <w:tc>
          <w:tcPr>
            <w:tcW w:w="75" w:type="dxa"/>
            <w:tcBorders/>
            <w:vAlign w:val="center"/>
          </w:tcPr>
          <w:p>
            <w:pPr>
              <w:pStyle w:val="TableContents"/>
              <w:bidi w:val="0"/>
              <w:spacing w:before="0" w:after="283"/>
              <w:ind w:left="0" w:right="0" w:hanging="0"/>
              <w:jc w:val="left"/>
              <w:rPr/>
            </w:pPr>
            <w:r>
              <w:rPr/>
              <w:t> </w:t>
            </w:r>
          </w:p>
        </w:tc>
        <w:tc>
          <w:tcPr>
            <w:tcW w:w="1437" w:type="dxa"/>
            <w:tcBorders/>
            <w:vAlign w:val="center"/>
          </w:tcPr>
          <w:p>
            <w:pPr>
              <w:pStyle w:val="TableContents"/>
              <w:bidi w:val="0"/>
              <w:spacing w:before="0" w:after="283"/>
              <w:ind w:left="0" w:right="0" w:hanging="0"/>
              <w:jc w:val="both"/>
              <w:rPr/>
            </w:pPr>
            <w:r>
              <w:rPr/>
              <w:t>Multiple Exercise:</w:t>
            </w:r>
          </w:p>
        </w:tc>
        <w:tc>
          <w:tcPr>
            <w:tcW w:w="8693" w:type="dxa"/>
            <w:tcBorders/>
            <w:vAlign w:val="center"/>
          </w:tcPr>
          <w:p>
            <w:pPr>
              <w:pStyle w:val="TableContents"/>
              <w:bidi w:val="0"/>
              <w:spacing w:before="0" w:after="283"/>
              <w:jc w:val="both"/>
              <w:rPr/>
            </w:pPr>
            <w:r>
              <w:rPr/>
              <w:t>Applicable, as described under “Automatic Exercise” and “Automatic Exercise of Remaining Repurchase Options After Free Convertibility Date” below.</w:t>
            </w:r>
          </w:p>
        </w:tc>
      </w:tr>
      <w:tr>
        <w:trPr/>
        <w:tc>
          <w:tcPr>
            <w:tcW w:w="75" w:type="dxa"/>
            <w:tcBorders/>
            <w:vAlign w:val="center"/>
          </w:tcPr>
          <w:p>
            <w:pPr>
              <w:pStyle w:val="TableContents"/>
              <w:bidi w:val="0"/>
              <w:spacing w:before="0" w:after="283"/>
              <w:ind w:left="0" w:right="0" w:hanging="0"/>
              <w:jc w:val="left"/>
              <w:rPr/>
            </w:pPr>
            <w:r>
              <w:rPr/>
              <w:t> </w:t>
            </w:r>
          </w:p>
        </w:tc>
        <w:tc>
          <w:tcPr>
            <w:tcW w:w="1437" w:type="dxa"/>
            <w:tcBorders/>
            <w:vAlign w:val="center"/>
          </w:tcPr>
          <w:p>
            <w:pPr>
              <w:pStyle w:val="TableContents"/>
              <w:bidi w:val="0"/>
              <w:spacing w:before="0" w:after="283"/>
              <w:ind w:left="0" w:right="0" w:hanging="0"/>
              <w:jc w:val="both"/>
              <w:rPr/>
            </w:pPr>
            <w:r>
              <w:rPr/>
              <w:t xml:space="preserve">Automatic Exercise: </w:t>
            </w:r>
          </w:p>
        </w:tc>
        <w:tc>
          <w:tcPr>
            <w:tcW w:w="8693" w:type="dxa"/>
            <w:tcBorders/>
            <w:vAlign w:val="center"/>
          </w:tcPr>
          <w:p>
            <w:pPr>
              <w:pStyle w:val="TableContents"/>
              <w:bidi w:val="0"/>
              <w:spacing w:before="0" w:after="283"/>
              <w:jc w:val="both"/>
              <w:rPr/>
            </w:pPr>
            <w:r>
              <w:rPr/>
              <w:t>Notwithstanding Section 3.4 of the Equity Definitions, on each Conversion Date, in respect of which a Notice of Conversion that is effective as to Counterparty has been delivered by the relevant converting “Holder” (as defined in the Indenture), a number of Options equal to [(i)] the number of Convertible Notes in denominations of USD 1,000 as to which such Conversion Date has occurred [</w:t>
            </w:r>
            <w:r>
              <w:rPr>
                <w:i/>
              </w:rPr>
              <w:t xml:space="preserve">minus </w:t>
            </w:r>
            <w:r>
              <w:rPr/>
              <w:t>(ii) the number of Options that are or are deemed to be automatically exercised on such Conversion Date under the Base Call Option Transaction Confirmation letter agreement dated August [__], 2024 between Dealer and Counterparty (the “</w:t>
            </w:r>
            <w:r>
              <w:rPr>
                <w:b/>
              </w:rPr>
              <w:t>Base Call Option Confirmation</w:t>
            </w:r>
            <w:r>
              <w:rPr/>
              <w:t>”) (and for the purposes of determining whether any Options under this Confirmation or under the Base Call Option Confirmation will be automatically exercised hereunder or under the Base Call Option Confirmation, the Convertible Notes subject to conversion shall be allocated first to the Base Call Option Confirmation until all Options thereunder are exercised or terminated),]</w:t>
            </w:r>
            <w:r>
              <w:rPr>
                <w:position w:val="8"/>
                <w:sz w:val="19"/>
              </w:rPr>
              <w:t>21</w:t>
            </w:r>
            <w:r>
              <w:rPr/>
              <w:t xml:space="preserve"> shall be deemed to be automatically exercised; </w:t>
            </w:r>
            <w:r>
              <w:rPr>
                <w:i/>
              </w:rPr>
              <w:t xml:space="preserve">provided </w:t>
            </w:r>
            <w:r>
              <w:rPr/>
              <w:t>that such Options shall be exercised or deemed exercised only if Counterparty has provided a Notice of Exercise to Dealer in accordance with “Notice of Exercise” below.</w:t>
            </w:r>
          </w:p>
        </w:tc>
      </w:tr>
      <w:tr>
        <w:trPr/>
        <w:tc>
          <w:tcPr>
            <w:tcW w:w="75" w:type="dxa"/>
            <w:tcBorders/>
            <w:vAlign w:val="center"/>
          </w:tcPr>
          <w:p>
            <w:pPr>
              <w:pStyle w:val="TableContents"/>
              <w:bidi w:val="0"/>
              <w:spacing w:before="0" w:after="283"/>
              <w:ind w:left="0" w:right="0" w:hanging="0"/>
              <w:jc w:val="left"/>
              <w:rPr/>
            </w:pPr>
            <w:r>
              <w:rPr/>
              <w:t> </w:t>
            </w:r>
          </w:p>
        </w:tc>
        <w:tc>
          <w:tcPr>
            <w:tcW w:w="1437" w:type="dxa"/>
            <w:tcBorders/>
            <w:vAlign w:val="center"/>
          </w:tcPr>
          <w:p>
            <w:pPr>
              <w:pStyle w:val="TableContents"/>
              <w:bidi w:val="0"/>
              <w:spacing w:before="0" w:after="283"/>
              <w:ind w:left="0" w:right="0" w:hanging="0"/>
              <w:jc w:val="both"/>
              <w:rPr/>
            </w:pPr>
            <w:r>
              <w:rPr/>
              <w:t> </w:t>
            </w:r>
          </w:p>
        </w:tc>
        <w:tc>
          <w:tcPr>
            <w:tcW w:w="8693" w:type="dxa"/>
            <w:tcBorders/>
            <w:vAlign w:val="center"/>
          </w:tcPr>
          <w:p>
            <w:pPr>
              <w:pStyle w:val="TableContents"/>
              <w:bidi w:val="0"/>
              <w:spacing w:before="0" w:after="283"/>
              <w:jc w:val="both"/>
              <w:rPr/>
            </w:pPr>
            <w:r>
              <w:rPr/>
              <w:t>Notwithstanding the foregoing, in no event shall the number of Options that are exercised or deemed exercised hereunder exceed the Number of Options.</w:t>
            </w:r>
          </w:p>
        </w:tc>
      </w:tr>
      <w:tr>
        <w:trPr/>
        <w:tc>
          <w:tcPr>
            <w:tcW w:w="75" w:type="dxa"/>
            <w:tcBorders/>
            <w:vAlign w:val="center"/>
          </w:tcPr>
          <w:p>
            <w:pPr>
              <w:pStyle w:val="TableContents"/>
              <w:bidi w:val="0"/>
              <w:spacing w:before="0" w:after="283"/>
              <w:ind w:left="0" w:right="0" w:hanging="0"/>
              <w:jc w:val="left"/>
              <w:rPr/>
            </w:pPr>
            <w:r>
              <w:rPr/>
              <w:t> </w:t>
            </w:r>
          </w:p>
        </w:tc>
        <w:tc>
          <w:tcPr>
            <w:tcW w:w="1437" w:type="dxa"/>
            <w:tcBorders/>
            <w:vAlign w:val="center"/>
          </w:tcPr>
          <w:p>
            <w:pPr>
              <w:pStyle w:val="TableContents"/>
              <w:bidi w:val="0"/>
              <w:spacing w:before="0" w:after="283"/>
              <w:ind w:left="0" w:right="0" w:hanging="0"/>
              <w:jc w:val="both"/>
              <w:rPr/>
            </w:pPr>
            <w:r>
              <w:rPr/>
              <w:t>Automatic Exercise of Remaining</w:t>
            </w:r>
          </w:p>
        </w:tc>
        <w:tc>
          <w:tcPr>
            <w:tcW w:w="86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37" w:type="dxa"/>
            <w:tcBorders/>
            <w:vAlign w:val="center"/>
          </w:tcPr>
          <w:p>
            <w:pPr>
              <w:pStyle w:val="TableContents"/>
              <w:bidi w:val="0"/>
              <w:spacing w:before="0" w:after="283"/>
              <w:ind w:left="0" w:right="0" w:hanging="0"/>
              <w:jc w:val="both"/>
              <w:rPr/>
            </w:pPr>
            <w:r>
              <w:rPr/>
              <w:t>Repurchase Options After</w:t>
            </w:r>
          </w:p>
        </w:tc>
        <w:tc>
          <w:tcPr>
            <w:tcW w:w="86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37" w:type="dxa"/>
            <w:tcBorders/>
            <w:vAlign w:val="center"/>
          </w:tcPr>
          <w:p>
            <w:pPr>
              <w:pStyle w:val="TableContents"/>
              <w:bidi w:val="0"/>
              <w:spacing w:before="0" w:after="283"/>
              <w:ind w:left="0" w:right="0" w:hanging="0"/>
              <w:jc w:val="both"/>
              <w:rPr/>
            </w:pPr>
            <w:r>
              <w:rPr/>
              <w:t>Free Convertibility Date:</w:t>
            </w:r>
          </w:p>
        </w:tc>
        <w:tc>
          <w:tcPr>
            <w:tcW w:w="8693" w:type="dxa"/>
            <w:tcBorders/>
            <w:vAlign w:val="center"/>
          </w:tcPr>
          <w:p>
            <w:pPr>
              <w:pStyle w:val="TableContents"/>
              <w:bidi w:val="0"/>
              <w:spacing w:before="0" w:after="283"/>
              <w:jc w:val="both"/>
              <w:rPr/>
            </w:pPr>
            <w:r>
              <w:rPr/>
              <w:t>Notwithstanding anything herein or in Section 3.4 of the Equity Definitions to the contrary, unless Counterparty notifies Dealer in writing prior to 5:00 p.m. (New York City time) on the Scheduled Valid Day immediately preceding the Expiration Date that it does not wish automatic exercise to occur with respect to any Remaining Repurchase Options (as defined below), a number of Options equal to the lesser of (a) the Number of Options (after giving effect to the provisions opposite the caption</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Include cross-reference to section of the Indenture containing provisions for exchange in lieu of conversion.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Include for Additional Call Option Confirmation only.</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71"/>
        <w:gridCol w:w="9259"/>
      </w:tblGrid>
      <w:tr>
        <w:trPr/>
        <w:tc>
          <w:tcPr>
            <w:tcW w:w="75" w:type="dxa"/>
            <w:tcBorders/>
            <w:vAlign w:val="center"/>
          </w:tcPr>
          <w:p>
            <w:pPr>
              <w:pStyle w:val="TableContents"/>
              <w:bidi w:val="0"/>
              <w:spacing w:before="0" w:after="283"/>
              <w:ind w:left="0" w:right="0" w:hanging="0"/>
              <w:jc w:val="left"/>
              <w:rPr/>
            </w:pPr>
            <w:r>
              <w:rPr/>
              <w:t> </w:t>
            </w:r>
          </w:p>
        </w:tc>
        <w:tc>
          <w:tcPr>
            <w:tcW w:w="871" w:type="dxa"/>
            <w:tcBorders/>
            <w:vAlign w:val="center"/>
          </w:tcPr>
          <w:p>
            <w:pPr>
              <w:pStyle w:val="TableContents"/>
              <w:bidi w:val="0"/>
              <w:spacing w:before="0" w:after="283"/>
              <w:ind w:left="0" w:right="0" w:hanging="0"/>
              <w:jc w:val="both"/>
              <w:rPr/>
            </w:pPr>
            <w:r>
              <w:rPr/>
              <w:t> </w:t>
            </w:r>
          </w:p>
        </w:tc>
        <w:tc>
          <w:tcPr>
            <w:tcW w:w="9259" w:type="dxa"/>
            <w:tcBorders/>
            <w:vAlign w:val="center"/>
          </w:tcPr>
          <w:p>
            <w:pPr>
              <w:pStyle w:val="TableContents"/>
              <w:bidi w:val="0"/>
              <w:spacing w:before="0" w:after="283"/>
              <w:jc w:val="both"/>
              <w:rPr/>
            </w:pPr>
            <w:r>
              <w:rPr/>
              <w:t>“</w:t>
            </w:r>
            <w:r>
              <w:rPr/>
              <w:t>Automatic Exercise” above) as of 9:00 a.m. (New York City time) on the Expiration Date and (b) the Remaining Repurchase Options [</w:t>
            </w:r>
            <w:r>
              <w:rPr>
                <w:i/>
              </w:rPr>
              <w:t>minus</w:t>
            </w:r>
            <w:r>
              <w:rPr/>
              <w:t xml:space="preserve"> the number of Remaining Options (as defined in the Base Call Option Transaction Confirmation)]</w:t>
            </w:r>
            <w:r>
              <w:rPr>
                <w:position w:val="8"/>
                <w:sz w:val="19"/>
              </w:rPr>
              <w:t>22</w:t>
            </w:r>
            <w:r>
              <w:rPr/>
              <w:t xml:space="preserve"> (such lesser number, the “</w:t>
            </w:r>
            <w:r>
              <w:rPr>
                <w:b/>
              </w:rPr>
              <w:t>Remaining Options</w:t>
            </w:r>
            <w:r>
              <w:rPr/>
              <w:t xml:space="preserve">”) will be deemed to be automatically exercised as if (i) a number of Convertible Notes (in denominations of USD 1,000 principal amount) equal to such number of Remaining Options were outstanding under the Indenture and were converted with a Conversion Date occurring on or after the Free Convertibility Date and (ii) the Notice of Final Settlement Method, if any, applied to such Convertible Notes; </w:t>
            </w:r>
            <w:r>
              <w:rPr>
                <w:i/>
              </w:rPr>
              <w:t>provided</w:t>
            </w:r>
            <w:r>
              <w:rPr/>
              <w:t xml:space="preserve"> that no such automatic exercise pursuant to this paragraph will occur if the Relevant Price for each Valid Day during the Settlement Averaging Period is less than or equal to the Strike Price. “</w:t>
            </w:r>
            <w:r>
              <w:rPr>
                <w:b/>
              </w:rPr>
              <w:t>Remaining Repurchase Options</w:t>
            </w:r>
            <w:r>
              <w:rPr/>
              <w:t>” shall mean the excess of (I) the aggregate number of Convertible Notes (in denominations of USD 1,000 principal amount) that were subject to Repayment Events (as defined below) (other than Repayment Events pursuant to the terms of the Indenture) described in clause (ii) of Section 9(i)(iv) (“</w:t>
            </w:r>
            <w:r>
              <w:rPr>
                <w:b/>
              </w:rPr>
              <w:t>Repurchase Events</w:t>
            </w:r>
            <w:r>
              <w:rPr/>
              <w:t xml:space="preserve">”) during the term of the Transaction </w:t>
            </w:r>
            <w:r>
              <w:rPr>
                <w:i/>
              </w:rPr>
              <w:t xml:space="preserve">over </w:t>
            </w:r>
            <w:r>
              <w:rPr/>
              <w:t>(II) the aggregate number of Repayment Options (as defined below) that were terminated hereunder relating to Repurchase Events during the term of the Transaction [</w:t>
            </w:r>
            <w:r>
              <w:rPr>
                <w:i/>
              </w:rPr>
              <w:t>plus</w:t>
            </w:r>
            <w:r>
              <w:rPr/>
              <w:t xml:space="preserve"> the aggregate number of Repayment Options (as defined in the Base Call Option Transaction Confirmation) terminated under the Base Call Option Transaction Confirmation relating to Repurchase Events (as defined therein) during the term of the “Transaction” under the Base Call Option Transaction Confirmation]</w:t>
            </w:r>
            <w:r>
              <w:rPr>
                <w:position w:val="8"/>
                <w:sz w:val="19"/>
              </w:rPr>
              <w:t>23</w:t>
            </w:r>
            <w:r>
              <w:rPr/>
              <w:t>. Counterparty shall notify Dealer in writing of the number of Remaining Repurchase Options before 5:00 p.m. (New York City time) on the Scheduled Valid Day immediately preceding the Expiration Date.</w:t>
            </w:r>
          </w:p>
        </w:tc>
      </w:tr>
      <w:tr>
        <w:trPr/>
        <w:tc>
          <w:tcPr>
            <w:tcW w:w="75" w:type="dxa"/>
            <w:tcBorders/>
            <w:vAlign w:val="center"/>
          </w:tcPr>
          <w:p>
            <w:pPr>
              <w:pStyle w:val="TableContents"/>
              <w:bidi w:val="0"/>
              <w:spacing w:before="0" w:after="283"/>
              <w:ind w:left="0" w:right="0" w:hanging="0"/>
              <w:jc w:val="left"/>
              <w:rPr/>
            </w:pPr>
            <w:r>
              <w:rPr/>
              <w:t> </w:t>
            </w:r>
          </w:p>
        </w:tc>
        <w:tc>
          <w:tcPr>
            <w:tcW w:w="871" w:type="dxa"/>
            <w:tcBorders/>
            <w:vAlign w:val="center"/>
          </w:tcPr>
          <w:p>
            <w:pPr>
              <w:pStyle w:val="TableContents"/>
              <w:bidi w:val="0"/>
              <w:spacing w:before="0" w:after="283"/>
              <w:ind w:left="0" w:right="0" w:hanging="0"/>
              <w:jc w:val="both"/>
              <w:rPr/>
            </w:pPr>
            <w:r>
              <w:rPr/>
              <w:t>Notice of Exercise:</w:t>
            </w:r>
          </w:p>
        </w:tc>
        <w:tc>
          <w:tcPr>
            <w:tcW w:w="9259" w:type="dxa"/>
            <w:tcBorders/>
            <w:vAlign w:val="center"/>
          </w:tcPr>
          <w:p>
            <w:pPr>
              <w:pStyle w:val="TableContents"/>
              <w:bidi w:val="0"/>
              <w:spacing w:before="0" w:after="283"/>
              <w:jc w:val="both"/>
              <w:rPr/>
            </w:pPr>
            <w:r>
              <w:rPr/>
              <w:t xml:space="preserve">Notwithstanding anything to the contrary in the Equity Definitions or under “Automatic Exercise” above, but subject to “Automatic Exercise of Remaining Repurchase Options After Free Convertibility Date” above, in order to exercise any Options upon a Conversion Date, Counterparty must notify Dealer in writing before 5:00 p.m. (New York City time) on the Scheduled Valid Day immediately preceding the Expiration Date specifying the number of such Options; </w:t>
            </w:r>
            <w:r>
              <w:rPr>
                <w:i/>
              </w:rPr>
              <w:t>provided</w:t>
            </w:r>
            <w:r>
              <w:rPr/>
              <w:t xml:space="preserve"> that if the Relevant Settlement Method for such Options is (x) Cash Settlement or (y) Combination Settlement, Dealer shall have received a separate notice (the “</w:t>
            </w:r>
            <w:r>
              <w:rPr>
                <w:b/>
              </w:rPr>
              <w:t>Notice of Final Settlement Method</w:t>
            </w:r>
            <w:r>
              <w:rPr/>
              <w:t>”) in respect of all such Convertible Notes before 5:00 p.m. (New York City time) on the Free Convertibility Date specifying (1) the Relevant Settlement Method for such Options, and (2) if the settlement method for the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22</w:t>
      </w:r>
      <w:r>
        <w:rPr>
          <w:rFonts w:ascii="Times New Roman;Times;Serif" w:hAnsi="Times New Roman;Times;Serif"/>
          <w:b w:val="false"/>
          <w:i w:val="false"/>
          <w:caps w:val="false"/>
          <w:smallCaps w:val="false"/>
          <w:sz w:val="20"/>
        </w:rPr>
        <w:t xml:space="preserve"> Include for Additional Call Option Confirmation only.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xml:space="preserve"> Include for Additional Call Option Confirmation only.</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41"/>
        <w:gridCol w:w="8989"/>
      </w:tblGrid>
      <w:tr>
        <w:trPr/>
        <w:tc>
          <w:tcPr>
            <w:tcW w:w="75" w:type="dxa"/>
            <w:tcBorders/>
            <w:vAlign w:val="center"/>
          </w:tcPr>
          <w:p>
            <w:pPr>
              <w:pStyle w:val="TableContents"/>
              <w:bidi w:val="0"/>
              <w:spacing w:before="0" w:after="283"/>
              <w:ind w:left="0" w:right="0" w:hanging="0"/>
              <w:jc w:val="left"/>
              <w:rPr/>
            </w:pPr>
            <w:r>
              <w:rPr/>
              <w:t> </w:t>
            </w:r>
          </w:p>
        </w:tc>
        <w:tc>
          <w:tcPr>
            <w:tcW w:w="1141" w:type="dxa"/>
            <w:tcBorders/>
            <w:vAlign w:val="center"/>
          </w:tcPr>
          <w:p>
            <w:pPr>
              <w:pStyle w:val="TableContents"/>
              <w:bidi w:val="0"/>
              <w:spacing w:before="0" w:after="283"/>
              <w:ind w:left="0" w:right="0" w:hanging="0"/>
              <w:jc w:val="both"/>
              <w:rPr/>
            </w:pPr>
            <w:r>
              <w:rPr/>
              <w:t> </w:t>
            </w:r>
          </w:p>
        </w:tc>
        <w:tc>
          <w:tcPr>
            <w:tcW w:w="8989" w:type="dxa"/>
            <w:tcBorders/>
            <w:vAlign w:val="center"/>
          </w:tcPr>
          <w:p>
            <w:pPr>
              <w:pStyle w:val="TableContents"/>
              <w:bidi w:val="0"/>
              <w:spacing w:before="0" w:after="283"/>
              <w:jc w:val="both"/>
              <w:rPr/>
            </w:pPr>
            <w:r>
              <w:rPr/>
              <w:t>related Convertible Notes is not Settlement in Cash (as defined below), the fixed amount of cash per Convertible Note that Counterparty has elected to deliver to “Holders” (as such term is defined in the Indenture) of the related Convertible Notes (the “</w:t>
            </w:r>
            <w:r>
              <w:rPr>
                <w:b/>
              </w:rPr>
              <w:t>Specified Cash Amount</w:t>
            </w:r>
            <w:r>
              <w:rPr/>
              <w:t>,” which, for the avoidance of doubt, must be greater than USD 1,000).  Notwithstanding anything to the contrary herein, if Counterparty does not timely deliver the Notice of Final Settlement Method then the Notice of Final Settlement Method shall be deemed timely given and the Settlement Method specified therein shall be deemed to be Net Share Settlement. Counterparty acknowledges its responsibilities under applicable securities laws, and in particular Section 9 and Section 10(b) of the Exchange Act (as defined below) and the rules and regulations thereunder, in respect of any election (or any deemed election) of a settlement method with respect to the Convertible Notes.</w:t>
            </w:r>
          </w:p>
        </w:tc>
      </w:tr>
      <w:tr>
        <w:trPr/>
        <w:tc>
          <w:tcPr>
            <w:tcW w:w="75" w:type="dxa"/>
            <w:tcBorders/>
            <w:vAlign w:val="center"/>
          </w:tcPr>
          <w:p>
            <w:pPr>
              <w:pStyle w:val="TableContents"/>
              <w:bidi w:val="0"/>
              <w:spacing w:before="0" w:after="283"/>
              <w:ind w:left="0" w:right="0" w:hanging="0"/>
              <w:jc w:val="left"/>
              <w:rPr/>
            </w:pPr>
            <w:r>
              <w:rPr/>
              <w:t> </w:t>
            </w:r>
          </w:p>
        </w:tc>
        <w:tc>
          <w:tcPr>
            <w:tcW w:w="1141" w:type="dxa"/>
            <w:tcBorders/>
            <w:vAlign w:val="center"/>
          </w:tcPr>
          <w:p>
            <w:pPr>
              <w:pStyle w:val="TableContents"/>
              <w:bidi w:val="0"/>
              <w:spacing w:before="0" w:after="283"/>
              <w:ind w:left="0" w:right="0" w:hanging="0"/>
              <w:jc w:val="both"/>
              <w:rPr/>
            </w:pPr>
            <w:r>
              <w:rPr/>
              <w:t>Valuation Time:</w:t>
            </w:r>
          </w:p>
        </w:tc>
        <w:tc>
          <w:tcPr>
            <w:tcW w:w="8989" w:type="dxa"/>
            <w:tcBorders/>
            <w:vAlign w:val="center"/>
          </w:tcPr>
          <w:p>
            <w:pPr>
              <w:pStyle w:val="TableContents"/>
              <w:bidi w:val="0"/>
              <w:spacing w:before="0" w:after="283"/>
              <w:jc w:val="both"/>
              <w:rPr/>
            </w:pPr>
            <w:r>
              <w:rPr/>
              <w:t xml:space="preserve">At the close of trading of the regular trading session on the Exchange; </w:t>
            </w:r>
            <w:r>
              <w:rPr>
                <w:i/>
              </w:rPr>
              <w:t>provided</w:t>
            </w:r>
            <w:r>
              <w:rPr/>
              <w:t xml:space="preserve"> that if the principal trading session is extended, the Calculation Agent shall determine the Valuation Time in its commercially reasonable discretion.</w:t>
            </w:r>
          </w:p>
        </w:tc>
      </w:tr>
      <w:tr>
        <w:trPr/>
        <w:tc>
          <w:tcPr>
            <w:tcW w:w="75" w:type="dxa"/>
            <w:tcBorders/>
            <w:vAlign w:val="center"/>
          </w:tcPr>
          <w:p>
            <w:pPr>
              <w:pStyle w:val="TableContents"/>
              <w:bidi w:val="0"/>
              <w:spacing w:before="0" w:after="283"/>
              <w:ind w:left="0" w:right="0" w:hanging="0"/>
              <w:jc w:val="left"/>
              <w:rPr/>
            </w:pPr>
            <w:r>
              <w:rPr/>
              <w:t> </w:t>
            </w:r>
          </w:p>
        </w:tc>
        <w:tc>
          <w:tcPr>
            <w:tcW w:w="1141" w:type="dxa"/>
            <w:tcBorders/>
            <w:vAlign w:val="center"/>
          </w:tcPr>
          <w:p>
            <w:pPr>
              <w:pStyle w:val="TableContents"/>
              <w:bidi w:val="0"/>
              <w:spacing w:before="0" w:after="283"/>
              <w:ind w:left="0" w:right="0" w:hanging="0"/>
              <w:jc w:val="both"/>
              <w:rPr/>
            </w:pPr>
            <w:r>
              <w:rPr/>
              <w:t>Market Disruption Event:</w:t>
            </w:r>
          </w:p>
        </w:tc>
        <w:tc>
          <w:tcPr>
            <w:tcW w:w="8989" w:type="dxa"/>
            <w:tcBorders/>
            <w:vAlign w:val="center"/>
          </w:tcPr>
          <w:p>
            <w:pPr>
              <w:pStyle w:val="TableContents"/>
              <w:bidi w:val="0"/>
              <w:spacing w:before="0" w:after="283"/>
              <w:jc w:val="both"/>
              <w:rPr/>
            </w:pPr>
            <w:r>
              <w:rPr/>
              <w:t>A “VWAP Market Disruption Event” as defined in the Indenture.</w:t>
            </w:r>
          </w:p>
        </w:tc>
      </w:tr>
    </w:tbl>
    <w:tbl>
      <w:tblPr>
        <w:tblW w:w="1985" w:type="dxa"/>
        <w:jc w:val="left"/>
        <w:tblInd w:w="0" w:type="dxa"/>
        <w:tblLayout w:type="fixed"/>
        <w:tblCellMar>
          <w:top w:w="0" w:type="dxa"/>
          <w:left w:w="0" w:type="dxa"/>
          <w:bottom w:w="0" w:type="dxa"/>
          <w:right w:w="0" w:type="dxa"/>
        </w:tblCellMar>
      </w:tblPr>
      <w:tblGrid>
        <w:gridCol w:w="75"/>
        <w:gridCol w:w="1835"/>
        <w:gridCol w:w="75"/>
      </w:tblGrid>
      <w:tr>
        <w:trPr/>
        <w:tc>
          <w:tcPr>
            <w:tcW w:w="75"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both"/>
              <w:rPr/>
            </w:pPr>
            <w:r>
              <w:rPr>
                <w:i/>
                <w:u w:val="single"/>
              </w:rPr>
              <w:t>Settlement Terms</w:t>
            </w:r>
            <w:r>
              <w:rPr>
                <w:i/>
              </w:rPr>
              <w:t>.</w:t>
            </w: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388"/>
        <w:gridCol w:w="8742"/>
      </w:tblGrid>
      <w:tr>
        <w:trPr/>
        <w:tc>
          <w:tcPr>
            <w:tcW w:w="75" w:type="dxa"/>
            <w:tcBorders/>
            <w:vAlign w:val="center"/>
          </w:tcPr>
          <w:p>
            <w:pPr>
              <w:pStyle w:val="TableContents"/>
              <w:bidi w:val="0"/>
              <w:spacing w:before="0" w:after="283"/>
              <w:ind w:left="0" w:right="0" w:hanging="0"/>
              <w:jc w:val="left"/>
              <w:rPr/>
            </w:pPr>
            <w:r>
              <w:rPr/>
              <w:t> </w:t>
            </w:r>
          </w:p>
        </w:tc>
        <w:tc>
          <w:tcPr>
            <w:tcW w:w="1388" w:type="dxa"/>
            <w:tcBorders/>
            <w:vAlign w:val="center"/>
          </w:tcPr>
          <w:p>
            <w:pPr>
              <w:pStyle w:val="TableContents"/>
              <w:bidi w:val="0"/>
              <w:spacing w:before="0" w:after="283"/>
              <w:ind w:left="0" w:right="0" w:hanging="0"/>
              <w:jc w:val="both"/>
              <w:rPr/>
            </w:pPr>
            <w:r>
              <w:rPr/>
              <w:t>Settlement Method:</w:t>
            </w:r>
          </w:p>
        </w:tc>
        <w:tc>
          <w:tcPr>
            <w:tcW w:w="8742" w:type="dxa"/>
            <w:tcBorders/>
            <w:vAlign w:val="center"/>
          </w:tcPr>
          <w:p>
            <w:pPr>
              <w:pStyle w:val="TableContents"/>
              <w:bidi w:val="0"/>
              <w:spacing w:before="0" w:after="283"/>
              <w:jc w:val="both"/>
              <w:rPr/>
            </w:pPr>
            <w:r>
              <w:rPr/>
              <w:t xml:space="preserve">For any Option, Net Share Settlement; </w:t>
            </w:r>
            <w:r>
              <w:rPr>
                <w:i/>
              </w:rPr>
              <w:t>provided</w:t>
            </w:r>
            <w:r>
              <w:rPr/>
              <w:t xml:space="preserve"> that if the Relevant Settlement Method set forth below for such Option is not Net Share Settlement, then the Settlement Method for such Option shall be such Relevant Settlement Method, but only if Counterparty shall have notified Dealer of the Relevant Settlement Method in the Notice of Final Settlement Method for such Option.</w:t>
            </w:r>
          </w:p>
        </w:tc>
      </w:tr>
      <w:tr>
        <w:trPr/>
        <w:tc>
          <w:tcPr>
            <w:tcW w:w="75" w:type="dxa"/>
            <w:tcBorders/>
            <w:vAlign w:val="center"/>
          </w:tcPr>
          <w:p>
            <w:pPr>
              <w:pStyle w:val="TableContents"/>
              <w:bidi w:val="0"/>
              <w:spacing w:before="0" w:after="283"/>
              <w:ind w:left="0" w:right="0" w:hanging="0"/>
              <w:jc w:val="left"/>
              <w:rPr/>
            </w:pPr>
            <w:r>
              <w:rPr/>
              <w:t> </w:t>
            </w:r>
          </w:p>
        </w:tc>
        <w:tc>
          <w:tcPr>
            <w:tcW w:w="1388" w:type="dxa"/>
            <w:tcBorders/>
            <w:vAlign w:val="center"/>
          </w:tcPr>
          <w:p>
            <w:pPr>
              <w:pStyle w:val="TableContents"/>
              <w:bidi w:val="0"/>
              <w:spacing w:before="0" w:after="283"/>
              <w:ind w:left="0" w:right="0" w:hanging="0"/>
              <w:jc w:val="both"/>
              <w:rPr/>
            </w:pPr>
            <w:r>
              <w:rPr/>
              <w:t>Relevant Settlement Method:</w:t>
            </w:r>
          </w:p>
        </w:tc>
        <w:tc>
          <w:tcPr>
            <w:tcW w:w="8742" w:type="dxa"/>
            <w:tcBorders/>
            <w:vAlign w:val="center"/>
          </w:tcPr>
          <w:p>
            <w:pPr>
              <w:pStyle w:val="TableContents"/>
              <w:bidi w:val="0"/>
              <w:spacing w:before="0" w:after="283"/>
              <w:jc w:val="both"/>
              <w:rPr/>
            </w:pPr>
            <w:r>
              <w:rPr/>
              <w:t>In respect of any Option:</w:t>
            </w:r>
          </w:p>
        </w:tc>
      </w:tr>
    </w:tbl>
    <w:tbl>
      <w:tblPr>
        <w:tblW w:w="10205" w:type="dxa"/>
        <w:jc w:val="left"/>
        <w:tblInd w:w="0" w:type="dxa"/>
        <w:tblLayout w:type="fixed"/>
        <w:tblCellMar>
          <w:top w:w="0" w:type="dxa"/>
          <w:left w:w="0" w:type="dxa"/>
          <w:bottom w:w="0" w:type="dxa"/>
          <w:right w:w="0" w:type="dxa"/>
        </w:tblCellMar>
      </w:tblPr>
      <w:tblGrid>
        <w:gridCol w:w="75"/>
        <w:gridCol w:w="23"/>
        <w:gridCol w:w="10107"/>
      </w:tblGrid>
      <w:tr>
        <w:trPr/>
        <w:tc>
          <w:tcPr>
            <w:tcW w:w="75" w:type="dxa"/>
            <w:tcBorders/>
            <w:vAlign w:val="center"/>
          </w:tcPr>
          <w:p>
            <w:pPr>
              <w:pStyle w:val="TableContents"/>
              <w:bidi w:val="0"/>
              <w:spacing w:before="0" w:after="283"/>
              <w:ind w:left="0" w:right="0" w:hanging="0"/>
              <w:jc w:val="left"/>
              <w:rPr/>
            </w:pPr>
            <w:r>
              <w:rPr/>
              <w:t> </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07" w:type="dxa"/>
            <w:tcBorders/>
            <w:vAlign w:val="center"/>
          </w:tcPr>
          <w:p>
            <w:pPr>
              <w:pStyle w:val="TableContents"/>
              <w:bidi w:val="0"/>
              <w:spacing w:before="0" w:after="283"/>
              <w:jc w:val="both"/>
              <w:rPr/>
            </w:pPr>
            <w:r>
              <w:rPr/>
              <w:t>(i) if Counterparty has elected to settle its conversion obligations in respect of the related Convertible Note in a combination of cash and Shares pursuant to Section [  ]</w:t>
            </w:r>
            <w:r>
              <w:rPr>
                <w:position w:val="8"/>
                <w:sz w:val="19"/>
              </w:rPr>
              <w:t>24</w:t>
            </w:r>
            <w:r>
              <w:rPr/>
              <w:t xml:space="preserve"> of the Indenture with a Specified Cash Amount equal to USD 1,000, then, in each case, the Relevant Settlement Method for such Option shall be Net Share Settlement;</w:t>
            </w:r>
          </w:p>
        </w:tc>
      </w:tr>
      <w:tr>
        <w:trPr/>
        <w:tc>
          <w:tcPr>
            <w:tcW w:w="75" w:type="dxa"/>
            <w:tcBorders/>
            <w:vAlign w:val="center"/>
          </w:tcPr>
          <w:p>
            <w:pPr>
              <w:pStyle w:val="TableContents"/>
              <w:bidi w:val="0"/>
              <w:spacing w:before="0" w:after="283"/>
              <w:ind w:left="0" w:right="0" w:hanging="0"/>
              <w:jc w:val="left"/>
              <w:rPr/>
            </w:pPr>
            <w:r>
              <w:rPr/>
              <w:t> </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07" w:type="dxa"/>
            <w:tcBorders/>
            <w:vAlign w:val="center"/>
          </w:tcPr>
          <w:p>
            <w:pPr>
              <w:pStyle w:val="TableContents"/>
              <w:bidi w:val="0"/>
              <w:spacing w:before="0" w:after="283"/>
              <w:jc w:val="both"/>
              <w:rPr/>
            </w:pPr>
            <w:r>
              <w:rPr/>
              <w:t>(ii) if Counterparty has elected to settle its conversion obligations in respect of the related Convertible Note in a combination of cash and Shares pursuant to Section [  ]</w:t>
            </w:r>
            <w:r>
              <w:rPr>
                <w:position w:val="8"/>
                <w:sz w:val="19"/>
              </w:rPr>
              <w:t>25</w:t>
            </w:r>
            <w:r>
              <w:rPr/>
              <w:t xml:space="preserve"> of the Indenture with a Specified Cash Amount greater than USD 1,000, then the Relevant Settlement Method for such Option shall be Combination Settlement; and</w:t>
            </w:r>
          </w:p>
        </w:tc>
      </w:tr>
      <w:tr>
        <w:trPr/>
        <w:tc>
          <w:tcPr>
            <w:tcW w:w="75" w:type="dxa"/>
            <w:tcBorders/>
            <w:vAlign w:val="center"/>
          </w:tcPr>
          <w:p>
            <w:pPr>
              <w:pStyle w:val="TableContents"/>
              <w:bidi w:val="0"/>
              <w:spacing w:before="0" w:after="283"/>
              <w:ind w:left="0" w:right="0" w:hanging="0"/>
              <w:jc w:val="left"/>
              <w:rPr/>
            </w:pPr>
            <w:r>
              <w:rPr/>
              <w:t> </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07" w:type="dxa"/>
            <w:tcBorders/>
            <w:vAlign w:val="center"/>
          </w:tcPr>
          <w:p>
            <w:pPr>
              <w:pStyle w:val="TableContents"/>
              <w:bidi w:val="0"/>
              <w:spacing w:before="0" w:after="283"/>
              <w:jc w:val="both"/>
              <w:rPr/>
            </w:pPr>
            <w:r>
              <w:rPr/>
              <w:t>(iii) if Counterparty has elected to settle its conversion obligations in respect of the related Convertible Note</w:t>
            </w:r>
          </w:p>
        </w:tc>
      </w:tr>
    </w:tbl>
    <w:p>
      <w:pPr>
        <w:pStyle w:val="TextBody"/>
        <w:bidi w:val="0"/>
        <w:spacing w:before="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24</w:t>
      </w:r>
      <w:r>
        <w:rPr>
          <w:rFonts w:ascii="Times New Roman;Times;Serif" w:hAnsi="Times New Roman;Times;Serif"/>
          <w:b w:val="false"/>
          <w:i w:val="false"/>
          <w:caps w:val="false"/>
          <w:smallCaps w:val="false"/>
          <w:sz w:val="20"/>
        </w:rPr>
        <w:t xml:space="preserve"> Include cross-reference to section of the Indenture containing provisions for combination settlement of the Convertible Notes.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25</w:t>
      </w:r>
      <w:r>
        <w:rPr>
          <w:rFonts w:ascii="Times New Roman;Times;Serif" w:hAnsi="Times New Roman;Times;Serif"/>
          <w:b w:val="false"/>
          <w:i w:val="false"/>
          <w:caps w:val="false"/>
          <w:smallCaps w:val="false"/>
          <w:sz w:val="20"/>
        </w:rPr>
        <w:t xml:space="preserve"> Include cross-reference to section of the Indenture containing provisions for combination settlement of the Convertible Notes.</w:t>
      </w:r>
    </w:p>
    <w:p>
      <w:pPr>
        <w:pStyle w:val="TextBody"/>
        <w:bidi w:val="0"/>
        <w:spacing w:before="0" w:after="0"/>
        <w:ind w:left="468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6"/>
        <w:gridCol w:w="8764"/>
      </w:tblGrid>
      <w:tr>
        <w:trPr/>
        <w:tc>
          <w:tcPr>
            <w:tcW w:w="75" w:type="dxa"/>
            <w:tcBorders/>
            <w:vAlign w:val="center"/>
          </w:tcPr>
          <w:p>
            <w:pPr>
              <w:pStyle w:val="TableContents"/>
              <w:bidi w:val="0"/>
              <w:spacing w:before="0" w:after="283"/>
              <w:ind w:left="0" w:right="0" w:hanging="0"/>
              <w:jc w:val="left"/>
              <w:rPr/>
            </w:pPr>
            <w:r>
              <w:rPr/>
              <w:t> </w:t>
            </w:r>
          </w:p>
        </w:tc>
        <w:tc>
          <w:tcPr>
            <w:tcW w:w="1366" w:type="dxa"/>
            <w:tcBorders/>
            <w:vAlign w:val="center"/>
          </w:tcPr>
          <w:p>
            <w:pPr>
              <w:pStyle w:val="TableContents"/>
              <w:bidi w:val="0"/>
              <w:spacing w:before="0" w:after="283"/>
              <w:ind w:left="0" w:right="0" w:hanging="0"/>
              <w:jc w:val="both"/>
              <w:rPr/>
            </w:pPr>
            <w:r>
              <w:rPr/>
              <w:t> </w:t>
            </w:r>
          </w:p>
        </w:tc>
        <w:tc>
          <w:tcPr>
            <w:tcW w:w="8764" w:type="dxa"/>
            <w:tcBorders/>
            <w:vAlign w:val="center"/>
          </w:tcPr>
          <w:p>
            <w:pPr>
              <w:pStyle w:val="TableContents"/>
              <w:bidi w:val="0"/>
              <w:spacing w:before="0" w:after="283"/>
              <w:jc w:val="both"/>
              <w:rPr/>
            </w:pPr>
            <w:r>
              <w:rPr/>
              <w:t>entirely in cash pursuant to Section [   ]</w:t>
            </w:r>
            <w:r>
              <w:rPr>
                <w:position w:val="8"/>
                <w:sz w:val="19"/>
              </w:rPr>
              <w:t xml:space="preserve">26 </w:t>
            </w:r>
            <w:r>
              <w:rPr/>
              <w:t>of the Indenture (such settlement method, “</w:t>
            </w:r>
            <w:r>
              <w:rPr>
                <w:b/>
              </w:rPr>
              <w:t>Settlement in Cash</w:t>
            </w:r>
            <w:r>
              <w:rPr/>
              <w:t>”), then the Relevant Settlement Method for such Option shall be Cash Settlement.</w:t>
            </w:r>
          </w:p>
        </w:tc>
      </w:tr>
      <w:tr>
        <w:trPr/>
        <w:tc>
          <w:tcPr>
            <w:tcW w:w="75" w:type="dxa"/>
            <w:tcBorders/>
            <w:vAlign w:val="center"/>
          </w:tcPr>
          <w:p>
            <w:pPr>
              <w:pStyle w:val="TableContents"/>
              <w:bidi w:val="0"/>
              <w:spacing w:before="0" w:after="283"/>
              <w:ind w:left="0" w:right="0" w:hanging="0"/>
              <w:jc w:val="left"/>
              <w:rPr/>
            </w:pPr>
            <w:r>
              <w:rPr/>
              <w:t> </w:t>
            </w:r>
          </w:p>
        </w:tc>
        <w:tc>
          <w:tcPr>
            <w:tcW w:w="1366" w:type="dxa"/>
            <w:tcBorders/>
            <w:vAlign w:val="center"/>
          </w:tcPr>
          <w:p>
            <w:pPr>
              <w:pStyle w:val="TableContents"/>
              <w:bidi w:val="0"/>
              <w:spacing w:before="0" w:after="283"/>
              <w:ind w:left="0" w:right="0" w:hanging="0"/>
              <w:jc w:val="both"/>
              <w:rPr/>
            </w:pPr>
            <w:r>
              <w:rPr/>
              <w:t>Net Share Settlement:</w:t>
            </w:r>
          </w:p>
        </w:tc>
        <w:tc>
          <w:tcPr>
            <w:tcW w:w="8764" w:type="dxa"/>
            <w:tcBorders/>
            <w:vAlign w:val="center"/>
          </w:tcPr>
          <w:p>
            <w:pPr>
              <w:pStyle w:val="TableContents"/>
              <w:bidi w:val="0"/>
              <w:spacing w:before="0" w:after="283"/>
              <w:jc w:val="both"/>
              <w:rPr/>
            </w:pPr>
            <w:r>
              <w:rPr/>
              <w:t>If Net Share Settlement is applicable to any Option exercised or deemed exercised hereunder, Dealer will deliver to Counterparty, on the relevant Settlement Date for each such Option, a number of Shares (the “</w:t>
            </w:r>
            <w:r>
              <w:rPr>
                <w:b/>
              </w:rPr>
              <w:t>Net Share Settlement Amount</w:t>
            </w:r>
            <w:r>
              <w:rPr/>
              <w:t xml:space="preserve">”) equal to the sum, for each Valid Day during the Settlement Averaging Period for each such Option, of (i) (a) the Daily Option Value for such Valid Day, </w:t>
            </w:r>
            <w:r>
              <w:rPr>
                <w:i/>
              </w:rPr>
              <w:t>divided by</w:t>
            </w:r>
            <w:r>
              <w:rPr/>
              <w:t xml:space="preserve"> (b) the Relevant Price on such Valid Day, </w:t>
            </w:r>
            <w:r>
              <w:rPr>
                <w:i/>
              </w:rPr>
              <w:t>divided by</w:t>
            </w:r>
            <w:r>
              <w:rPr/>
              <w:t xml:space="preserve"> (ii) the number of Valid Days in the Settlement Averaging Period; </w:t>
            </w:r>
            <w:r>
              <w:rPr>
                <w:i/>
              </w:rPr>
              <w:t>provided</w:t>
            </w:r>
            <w:r>
              <w:rPr/>
              <w:t xml:space="preserve"> that in no event shall the Net Share Settlement Amount for any Option exceed a number of Shares equal to the Applicable Limit for such Option </w:t>
            </w:r>
            <w:r>
              <w:rPr>
                <w:i/>
              </w:rPr>
              <w:t>divided by</w:t>
            </w:r>
            <w:r>
              <w:rPr/>
              <w:t xml:space="preserve"> the Applicable Limit Price on the Settlement Date for such Option.</w:t>
            </w:r>
          </w:p>
        </w:tc>
      </w:tr>
      <w:tr>
        <w:trPr/>
        <w:tc>
          <w:tcPr>
            <w:tcW w:w="75" w:type="dxa"/>
            <w:tcBorders/>
            <w:vAlign w:val="center"/>
          </w:tcPr>
          <w:p>
            <w:pPr>
              <w:pStyle w:val="TableContents"/>
              <w:bidi w:val="0"/>
              <w:spacing w:before="0" w:after="283"/>
              <w:ind w:left="0" w:right="0" w:hanging="0"/>
              <w:jc w:val="left"/>
              <w:rPr/>
            </w:pPr>
            <w:r>
              <w:rPr/>
              <w:t> </w:t>
            </w:r>
          </w:p>
        </w:tc>
        <w:tc>
          <w:tcPr>
            <w:tcW w:w="1366" w:type="dxa"/>
            <w:tcBorders/>
            <w:vAlign w:val="center"/>
          </w:tcPr>
          <w:p>
            <w:pPr>
              <w:pStyle w:val="TableContents"/>
              <w:bidi w:val="0"/>
              <w:spacing w:before="0" w:after="283"/>
              <w:ind w:left="0" w:right="0" w:hanging="0"/>
              <w:jc w:val="both"/>
              <w:rPr/>
            </w:pPr>
            <w:r>
              <w:rPr/>
              <w:t> </w:t>
            </w:r>
          </w:p>
        </w:tc>
        <w:tc>
          <w:tcPr>
            <w:tcW w:w="8764" w:type="dxa"/>
            <w:tcBorders/>
            <w:vAlign w:val="center"/>
          </w:tcPr>
          <w:p>
            <w:pPr>
              <w:pStyle w:val="TableContents"/>
              <w:bidi w:val="0"/>
              <w:spacing w:before="0" w:after="283"/>
              <w:jc w:val="both"/>
              <w:rPr/>
            </w:pPr>
            <w:r>
              <w:rPr/>
              <w:t>Dealer will pay cash in lieu of delivering any fractional Shares to be delivered with respect to any Net Share Settlement Amount valued at the Relevant Price for the last Valid Day of the Settlement Averaging Period.</w:t>
            </w:r>
          </w:p>
        </w:tc>
      </w:tr>
      <w:tr>
        <w:trPr/>
        <w:tc>
          <w:tcPr>
            <w:tcW w:w="75" w:type="dxa"/>
            <w:tcBorders/>
            <w:vAlign w:val="center"/>
          </w:tcPr>
          <w:p>
            <w:pPr>
              <w:pStyle w:val="TableContents"/>
              <w:bidi w:val="0"/>
              <w:spacing w:before="0" w:after="283"/>
              <w:ind w:left="0" w:right="0" w:hanging="0"/>
              <w:jc w:val="left"/>
              <w:rPr/>
            </w:pPr>
            <w:r>
              <w:rPr/>
              <w:t> </w:t>
            </w:r>
          </w:p>
        </w:tc>
        <w:tc>
          <w:tcPr>
            <w:tcW w:w="1366" w:type="dxa"/>
            <w:tcBorders/>
            <w:vAlign w:val="center"/>
          </w:tcPr>
          <w:p>
            <w:pPr>
              <w:pStyle w:val="TableContents"/>
              <w:bidi w:val="0"/>
              <w:spacing w:before="0" w:after="283"/>
              <w:ind w:left="0" w:right="0" w:hanging="0"/>
              <w:jc w:val="both"/>
              <w:rPr/>
            </w:pPr>
            <w:r>
              <w:rPr/>
              <w:t>Combination Settlement:</w:t>
            </w:r>
          </w:p>
        </w:tc>
        <w:tc>
          <w:tcPr>
            <w:tcW w:w="8764" w:type="dxa"/>
            <w:tcBorders/>
            <w:vAlign w:val="center"/>
          </w:tcPr>
          <w:p>
            <w:pPr>
              <w:pStyle w:val="TableContents"/>
              <w:bidi w:val="0"/>
              <w:spacing w:before="0" w:after="283"/>
              <w:jc w:val="both"/>
              <w:rPr/>
            </w:pPr>
            <w:r>
              <w:rPr/>
              <w:t>If Combination Settlement is applicable to any Option exercised or deemed exercised hereunder, Dealer will pay or deliver, as the case may be, to Counterparty, on the relevant Settlement Date for each such Option:</w:t>
            </w:r>
          </w:p>
        </w:tc>
      </w:tr>
    </w:tbl>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both"/>
              <w:rPr/>
            </w:pPr>
            <w:r>
              <w:rPr/>
              <w:t>cash (the “</w:t>
            </w:r>
            <w:r>
              <w:rPr>
                <w:b/>
              </w:rPr>
              <w:t>Combination Settlement Cash Amount</w:t>
            </w:r>
            <w:r>
              <w:rPr/>
              <w:t>”) equal to the sum, for each Valid Day during the Settlement Averaging Period for such Option, of (A) an amount (the “</w:t>
            </w:r>
            <w:r>
              <w:rPr>
                <w:b/>
              </w:rPr>
              <w:t>Daily Combination Settlement Cash Amount</w:t>
            </w:r>
            <w:r>
              <w:rPr/>
              <w:t xml:space="preserve">”) equal to the lesser of (1) the product of (x) the Applicable Percentage and (y) the Specified Cash Amount </w:t>
            </w:r>
            <w:r>
              <w:rPr>
                <w:i/>
              </w:rPr>
              <w:t>minus</w:t>
            </w:r>
            <w:r>
              <w:rPr/>
              <w:t xml:space="preserve"> USD 1,000 and (2) the Daily Option Value, </w:t>
            </w:r>
            <w:r>
              <w:rPr>
                <w:i/>
              </w:rPr>
              <w:t>divided by</w:t>
            </w:r>
            <w:r>
              <w:rPr/>
              <w:t xml:space="preserve"> (B) the number of Valid Days in the Settlement Averaging Period; </w:t>
            </w:r>
            <w:r>
              <w:rPr>
                <w:i/>
              </w:rPr>
              <w:t>provided</w:t>
            </w:r>
            <w:r>
              <w:rPr/>
              <w:t xml:space="preserve"> that if the calculation in clause (A) above results in zero or a negative number for any Valid Day, the Daily Combination Settlement Cash Amount for such Valid Day shall be deemed to be zero; and</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(ii)</w:t>
            </w:r>
          </w:p>
        </w:tc>
        <w:tc>
          <w:tcPr>
            <w:tcW w:w="9937" w:type="dxa"/>
            <w:tcBorders/>
            <w:vAlign w:val="center"/>
          </w:tcPr>
          <w:p>
            <w:pPr>
              <w:pStyle w:val="TableContents"/>
              <w:bidi w:val="0"/>
              <w:spacing w:before="0" w:after="283"/>
              <w:jc w:val="both"/>
              <w:rPr/>
            </w:pPr>
            <w:r>
              <w:rPr/>
              <w:t>Shares (the “</w:t>
            </w:r>
            <w:r>
              <w:rPr>
                <w:b/>
              </w:rPr>
              <w:t>Combination Settlement Share Amount</w:t>
            </w:r>
            <w:r>
              <w:rPr/>
              <w:t>”) equal to the sum, for each Valid Day during the Settlement Averaging Period for such Option, of a number of Shares for such Valid Day (the “</w:t>
            </w:r>
            <w:r>
              <w:rPr>
                <w:b/>
              </w:rPr>
              <w:t>Daily Combination Settlement Share Amount</w:t>
            </w:r>
            <w:r>
              <w:rPr/>
              <w:t xml:space="preserve">”) equal to (A) (1) the Daily Option Value on such Valid Day </w:t>
            </w:r>
            <w:r>
              <w:rPr>
                <w:i/>
              </w:rPr>
              <w:t>minus</w:t>
            </w:r>
            <w:r>
              <w:rPr/>
              <w:t xml:space="preserve"> the Daily Combination Settlement Cash Amount for such Valid Day, </w:t>
            </w:r>
            <w:r>
              <w:rPr>
                <w:i/>
              </w:rPr>
              <w:t>divided by</w:t>
            </w:r>
            <w:r>
              <w:rPr/>
              <w:t xml:space="preserve"> (2) the Relevant Price on such Valid 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26</w:t>
      </w:r>
      <w:r>
        <w:rPr>
          <w:rFonts w:ascii="Times New Roman;Times;Serif" w:hAnsi="Times New Roman;Times;Serif"/>
          <w:b w:val="false"/>
          <w:i w:val="false"/>
          <w:caps w:val="false"/>
          <w:smallCaps w:val="false"/>
          <w:sz w:val="20"/>
        </w:rPr>
        <w:t xml:space="preserve"> Include cross-reference to section of the Indenture containing provisions for cash settlement of the Convertible Notes.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i/>
              </w:rPr>
              <w:t>divided by</w:t>
            </w:r>
            <w:r>
              <w:rPr/>
              <w:t xml:space="preserve"> (B) the number of Valid Days in the Settlement Averaging Period; </w:t>
            </w:r>
            <w:r>
              <w:rPr>
                <w:i/>
              </w:rPr>
              <w:t>provided</w:t>
            </w:r>
            <w:r>
              <w:rPr/>
              <w:t xml:space="preserve"> that if the calculation in sub-clause (A)(1) above results in zero or a negative number for any Valid Day, the Daily Combination Settlement Share Amount for such Valid Day shall be deemed to be zero;</w:t>
            </w:r>
          </w:p>
        </w:tc>
      </w:tr>
    </w:tbl>
    <w:p>
      <w:pPr>
        <w:pStyle w:val="TextBody"/>
        <w:bidi w:val="0"/>
        <w:spacing w:before="0" w:after="0"/>
        <w:ind w:left="5226" w:right="0" w:hanging="546"/>
        <w:jc w:val="both"/>
        <w:rPr>
          <w:caps w:val="false"/>
          <w:smallCaps w:val="false"/>
        </w:rPr>
      </w:pPr>
      <w:r>
        <w:rPr>
          <w:caps w:val="false"/>
          <w:smallCaps w:val="false"/>
        </w:rPr>
        <w:t> </w:t>
      </w:r>
    </w:p>
    <w:p>
      <w:pPr>
        <w:pStyle w:val="TextBody"/>
        <w:bidi w:val="0"/>
        <w:spacing w:before="0" w:after="0"/>
        <w:ind w:left="5226" w:right="0" w:hanging="54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13"/>
        <w:gridCol w:w="8917"/>
      </w:tblGrid>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 </w:t>
            </w:r>
          </w:p>
        </w:tc>
        <w:tc>
          <w:tcPr>
            <w:tcW w:w="8917" w:type="dxa"/>
            <w:tcBorders/>
            <w:vAlign w:val="center"/>
          </w:tcPr>
          <w:p>
            <w:pPr>
              <w:pStyle w:val="TableContents"/>
              <w:bidi w:val="0"/>
              <w:spacing w:before="0" w:after="283"/>
              <w:jc w:val="both"/>
              <w:rPr/>
            </w:pPr>
            <w:r>
              <w:rPr>
                <w:i/>
              </w:rPr>
              <w:t>provided</w:t>
            </w:r>
            <w:r>
              <w:rPr/>
              <w:t xml:space="preserve"> that in no event shall the sum of (x) the Combination Settlement Cash Amount for any Option and (y) the Combination Settlement Share Amount for such Option </w:t>
            </w:r>
            <w:r>
              <w:rPr>
                <w:i/>
              </w:rPr>
              <w:t>multiplied by</w:t>
            </w:r>
            <w:r>
              <w:rPr/>
              <w:t xml:space="preserve"> the Applicable Limit Price on the Settlement Date for such Option, exceed the Applicable Limit for such Option.</w:t>
            </w:r>
          </w:p>
        </w:tc>
      </w:tr>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 </w:t>
            </w:r>
          </w:p>
        </w:tc>
        <w:tc>
          <w:tcPr>
            <w:tcW w:w="8917" w:type="dxa"/>
            <w:tcBorders/>
            <w:vAlign w:val="center"/>
          </w:tcPr>
          <w:p>
            <w:pPr>
              <w:pStyle w:val="TableContents"/>
              <w:bidi w:val="0"/>
              <w:spacing w:before="0" w:after="283"/>
              <w:jc w:val="both"/>
              <w:rPr/>
            </w:pPr>
            <w:r>
              <w:rPr/>
              <w:t>Dealer will pay cash in lieu of delivering any fractional Shares to be delivered with respect to any Combination Settlement Share Amount valued at the Relevant Price for the last Valid Day of the Settlement Averaging Period.</w:t>
            </w:r>
          </w:p>
        </w:tc>
      </w:tr>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Cash Settlement:</w:t>
            </w:r>
          </w:p>
        </w:tc>
        <w:tc>
          <w:tcPr>
            <w:tcW w:w="8917" w:type="dxa"/>
            <w:tcBorders/>
            <w:vAlign w:val="center"/>
          </w:tcPr>
          <w:p>
            <w:pPr>
              <w:pStyle w:val="TableContents"/>
              <w:bidi w:val="0"/>
              <w:spacing w:before="0" w:after="283"/>
              <w:jc w:val="both"/>
              <w:rPr/>
            </w:pPr>
            <w:r>
              <w:rPr/>
              <w:t>If Cash Settlement is applicable to any Option exercised or deemed exercised hereunder, in lieu of Section 8.1 of the Equity Definitions, Dealer will pay to Counterparty, on the relevant Settlement Date for each such Option, an amount of cash (the “</w:t>
            </w:r>
            <w:r>
              <w:rPr>
                <w:b/>
              </w:rPr>
              <w:t>Cash Settlement Amount</w:t>
            </w:r>
            <w:r>
              <w:rPr/>
              <w:t xml:space="preserve">”) equal to the sum, for each Valid Day during the Settlement Averaging Period for such Option, of (i) the Daily Option Value for such Valid Day, </w:t>
            </w:r>
            <w:r>
              <w:rPr>
                <w:i/>
              </w:rPr>
              <w:t>divided by</w:t>
            </w:r>
            <w:r>
              <w:rPr/>
              <w:t xml:space="preserve"> (ii) the number of Valid Days in the Settlement Averaging Period; </w:t>
            </w:r>
            <w:r>
              <w:rPr>
                <w:i/>
              </w:rPr>
              <w:t>provided</w:t>
            </w:r>
            <w:r>
              <w:rPr/>
              <w:t xml:space="preserve"> that in no event shall the Cash Settlement Amount exceed the Applicable Limit for such Option.  </w:t>
            </w:r>
          </w:p>
        </w:tc>
      </w:tr>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Daily Option Value:</w:t>
            </w:r>
          </w:p>
        </w:tc>
        <w:tc>
          <w:tcPr>
            <w:tcW w:w="8917" w:type="dxa"/>
            <w:tcBorders/>
            <w:vAlign w:val="center"/>
          </w:tcPr>
          <w:p>
            <w:pPr>
              <w:pStyle w:val="TableContents"/>
              <w:bidi w:val="0"/>
              <w:spacing w:before="0" w:after="283"/>
              <w:jc w:val="both"/>
              <w:rPr/>
            </w:pPr>
            <w:r>
              <w:rPr/>
              <w:t xml:space="preserve">For any Valid Day, an amount equal to (i) the Option Entitlement on such Valid Day, </w:t>
            </w:r>
            <w:r>
              <w:rPr>
                <w:i/>
              </w:rPr>
              <w:t>multiplied by</w:t>
            </w:r>
            <w:r>
              <w:rPr/>
              <w:t xml:space="preserve"> (ii) (A) the lesser of the Relevant Price on such Valid Day and the Cap Price, </w:t>
            </w:r>
            <w:r>
              <w:rPr>
                <w:i/>
              </w:rPr>
              <w:t>less</w:t>
            </w:r>
            <w:r>
              <w:rPr/>
              <w:t xml:space="preserve"> (B) the Strike Price on such Valid Day; </w:t>
            </w:r>
            <w:r>
              <w:rPr>
                <w:i/>
              </w:rPr>
              <w:t>provided</w:t>
            </w:r>
            <w:r>
              <w:rPr/>
              <w:t xml:space="preserve"> that if the calculation contained in clause (ii) above results in a negative number, the Daily Option Value for such Valid Day shall be deemed to be zero.  In no event will the Daily Option Value be less than zero.</w:t>
            </w:r>
          </w:p>
        </w:tc>
      </w:tr>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Applicable Limit:</w:t>
            </w:r>
          </w:p>
        </w:tc>
        <w:tc>
          <w:tcPr>
            <w:tcW w:w="8917" w:type="dxa"/>
            <w:tcBorders/>
            <w:vAlign w:val="center"/>
          </w:tcPr>
          <w:p>
            <w:pPr>
              <w:pStyle w:val="TableContents"/>
              <w:bidi w:val="0"/>
              <w:spacing w:before="0" w:after="283"/>
              <w:jc w:val="both"/>
              <w:rPr/>
            </w:pPr>
            <w:r>
              <w:rPr/>
              <w:t xml:space="preserve">For any Option, an amount of cash equal to the Applicable Percentage </w:t>
            </w:r>
            <w:r>
              <w:rPr>
                <w:i/>
              </w:rPr>
              <w:t>multiplied by</w:t>
            </w:r>
            <w:r>
              <w:rPr/>
              <w:t xml:space="preserve"> the excess of (i) the aggregate of (A) the amount of cash, if any, paid to the “Holder” (as defined in the Indenture) of the related Convertible Note upon conversion of such Convertible Note and (B) the number of Shares, if any, delivered to the “Holder” (as defined in the Indenture) of the related Convertible Note upon conversion of such Convertible Note </w:t>
            </w:r>
            <w:r>
              <w:rPr>
                <w:i/>
              </w:rPr>
              <w:t>multiplied by</w:t>
            </w:r>
            <w:r>
              <w:rPr/>
              <w:t xml:space="preserve"> the Applicable Limit Price on the Settlement Date for such Option, over (ii) USD 1,000.</w:t>
            </w:r>
          </w:p>
        </w:tc>
      </w:tr>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Applicable Limit Price:</w:t>
            </w:r>
          </w:p>
        </w:tc>
        <w:tc>
          <w:tcPr>
            <w:tcW w:w="8917" w:type="dxa"/>
            <w:tcBorders/>
            <w:vAlign w:val="center"/>
          </w:tcPr>
          <w:p>
            <w:pPr>
              <w:pStyle w:val="TableContents"/>
              <w:bidi w:val="0"/>
              <w:spacing w:before="0" w:after="283"/>
              <w:jc w:val="both"/>
              <w:rPr/>
            </w:pPr>
            <w:r>
              <w:rPr/>
              <w:t>On any day, the opening price as displayed under the heading “Op” on Bloomberg page ANIP &lt;equity&gt; (or any successor thereto).</w:t>
            </w:r>
          </w:p>
        </w:tc>
      </w:tr>
      <w:tr>
        <w:trPr/>
        <w:tc>
          <w:tcPr>
            <w:tcW w:w="75" w:type="dxa"/>
            <w:tcBorders/>
            <w:vAlign w:val="center"/>
          </w:tcPr>
          <w:p>
            <w:pPr>
              <w:pStyle w:val="TableContents"/>
              <w:bidi w:val="0"/>
              <w:spacing w:before="0" w:after="283"/>
              <w:ind w:left="0" w:right="0" w:hanging="0"/>
              <w:jc w:val="left"/>
              <w:rPr/>
            </w:pPr>
            <w:r>
              <w:rPr/>
              <w:t> </w:t>
            </w:r>
          </w:p>
        </w:tc>
        <w:tc>
          <w:tcPr>
            <w:tcW w:w="1213" w:type="dxa"/>
            <w:tcBorders/>
            <w:vAlign w:val="center"/>
          </w:tcPr>
          <w:p>
            <w:pPr>
              <w:pStyle w:val="TableContents"/>
              <w:bidi w:val="0"/>
              <w:spacing w:before="0" w:after="283"/>
              <w:ind w:left="0" w:right="0" w:hanging="0"/>
              <w:jc w:val="both"/>
              <w:rPr/>
            </w:pPr>
            <w:r>
              <w:rPr/>
              <w:t>Valid Day:</w:t>
            </w:r>
          </w:p>
        </w:tc>
        <w:tc>
          <w:tcPr>
            <w:tcW w:w="8917" w:type="dxa"/>
            <w:tcBorders/>
            <w:vAlign w:val="center"/>
          </w:tcPr>
          <w:p>
            <w:pPr>
              <w:pStyle w:val="TableContents"/>
              <w:bidi w:val="0"/>
              <w:spacing w:before="0" w:after="283"/>
              <w:jc w:val="both"/>
              <w:rPr/>
            </w:pPr>
            <w:r>
              <w:rPr/>
              <w:t>A “VWAP Trading Day” as defined in the Indenture.</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6"/>
        <w:gridCol w:w="8554"/>
      </w:tblGrid>
      <w:tr>
        <w:trPr/>
        <w:tc>
          <w:tcPr>
            <w:tcW w:w="75" w:type="dxa"/>
            <w:tcBorders/>
            <w:vAlign w:val="center"/>
          </w:tcPr>
          <w:p>
            <w:pPr>
              <w:pStyle w:val="TableContents"/>
              <w:bidi w:val="0"/>
              <w:spacing w:before="0" w:after="283"/>
              <w:ind w:left="0" w:right="0" w:hanging="0"/>
              <w:jc w:val="left"/>
              <w:rPr/>
            </w:pPr>
            <w:r>
              <w:rPr/>
              <w:t> </w:t>
            </w:r>
          </w:p>
        </w:tc>
        <w:tc>
          <w:tcPr>
            <w:tcW w:w="1576" w:type="dxa"/>
            <w:tcBorders/>
            <w:vAlign w:val="center"/>
          </w:tcPr>
          <w:p>
            <w:pPr>
              <w:pStyle w:val="TableContents"/>
              <w:bidi w:val="0"/>
              <w:spacing w:before="0" w:after="283"/>
              <w:ind w:left="0" w:right="0" w:hanging="0"/>
              <w:jc w:val="both"/>
              <w:rPr/>
            </w:pPr>
            <w:r>
              <w:rPr/>
              <w:t>Scheduled Valid Day:</w:t>
            </w:r>
          </w:p>
        </w:tc>
        <w:tc>
          <w:tcPr>
            <w:tcW w:w="8554" w:type="dxa"/>
            <w:tcBorders/>
            <w:vAlign w:val="center"/>
          </w:tcPr>
          <w:p>
            <w:pPr>
              <w:pStyle w:val="TableContents"/>
              <w:bidi w:val="0"/>
              <w:spacing w:before="0" w:after="283"/>
              <w:jc w:val="both"/>
              <w:rPr/>
            </w:pPr>
            <w:r>
              <w:rPr/>
              <w:t>A “Scheduled Trading Day” as defined in the Indenture.</w:t>
            </w:r>
          </w:p>
        </w:tc>
      </w:tr>
      <w:tr>
        <w:trPr/>
        <w:tc>
          <w:tcPr>
            <w:tcW w:w="75" w:type="dxa"/>
            <w:tcBorders/>
            <w:vAlign w:val="center"/>
          </w:tcPr>
          <w:p>
            <w:pPr>
              <w:pStyle w:val="TableContents"/>
              <w:bidi w:val="0"/>
              <w:spacing w:before="0" w:after="283"/>
              <w:ind w:left="0" w:right="0" w:hanging="0"/>
              <w:jc w:val="left"/>
              <w:rPr/>
            </w:pPr>
            <w:r>
              <w:rPr/>
              <w:t> </w:t>
            </w:r>
          </w:p>
        </w:tc>
        <w:tc>
          <w:tcPr>
            <w:tcW w:w="1576" w:type="dxa"/>
            <w:tcBorders/>
            <w:vAlign w:val="center"/>
          </w:tcPr>
          <w:p>
            <w:pPr>
              <w:pStyle w:val="TableContents"/>
              <w:bidi w:val="0"/>
              <w:spacing w:before="0" w:after="283"/>
              <w:ind w:left="0" w:right="0" w:hanging="0"/>
              <w:jc w:val="both"/>
              <w:rPr/>
            </w:pPr>
            <w:r>
              <w:rPr/>
              <w:t>Business Day:</w:t>
            </w:r>
          </w:p>
        </w:tc>
        <w:tc>
          <w:tcPr>
            <w:tcW w:w="8554" w:type="dxa"/>
            <w:tcBorders/>
            <w:vAlign w:val="center"/>
          </w:tcPr>
          <w:p>
            <w:pPr>
              <w:pStyle w:val="TableContents"/>
              <w:bidi w:val="0"/>
              <w:spacing w:before="0" w:after="283"/>
              <w:jc w:val="both"/>
              <w:rPr/>
            </w:pPr>
            <w:r>
              <w:rPr/>
              <w:t>A “Business Day” as defined in the Indenture.</w:t>
            </w:r>
          </w:p>
        </w:tc>
      </w:tr>
      <w:tr>
        <w:trPr/>
        <w:tc>
          <w:tcPr>
            <w:tcW w:w="75" w:type="dxa"/>
            <w:tcBorders/>
            <w:vAlign w:val="center"/>
          </w:tcPr>
          <w:p>
            <w:pPr>
              <w:pStyle w:val="TableContents"/>
              <w:bidi w:val="0"/>
              <w:spacing w:before="0" w:after="283"/>
              <w:ind w:left="0" w:right="0" w:hanging="0"/>
              <w:jc w:val="left"/>
              <w:rPr/>
            </w:pPr>
            <w:r>
              <w:rPr/>
              <w:t> </w:t>
            </w:r>
          </w:p>
        </w:tc>
        <w:tc>
          <w:tcPr>
            <w:tcW w:w="1576" w:type="dxa"/>
            <w:tcBorders/>
            <w:vAlign w:val="center"/>
          </w:tcPr>
          <w:p>
            <w:pPr>
              <w:pStyle w:val="TableContents"/>
              <w:bidi w:val="0"/>
              <w:spacing w:before="0" w:after="283"/>
              <w:ind w:left="0" w:right="0" w:hanging="0"/>
              <w:jc w:val="both"/>
              <w:rPr/>
            </w:pPr>
            <w:r>
              <w:rPr/>
              <w:t>Relevant Price:</w:t>
            </w:r>
          </w:p>
        </w:tc>
        <w:tc>
          <w:tcPr>
            <w:tcW w:w="8554" w:type="dxa"/>
            <w:tcBorders/>
            <w:vAlign w:val="center"/>
          </w:tcPr>
          <w:p>
            <w:pPr>
              <w:pStyle w:val="TableContents"/>
              <w:bidi w:val="0"/>
              <w:spacing w:before="0" w:after="283"/>
              <w:jc w:val="both"/>
              <w:rPr/>
            </w:pPr>
            <w:r>
              <w:rPr/>
              <w:t>On any Valid Day, the per Share volume-weighted average price as displayed under the heading “Bloomberg VWAP” on Bloomberg page ANIP &lt;equity&gt; AQR (or, if such page is not available, its equivalent successor page) in respect of the period from the scheduled open of trading until the scheduled close of trading of the primary trading session on such Valid Day (or if such volume-weighted average price is unavailable at such time, the market value of one Share on such Valid Day, as determined by the Calculation Agent in a commercially reasonable manner using, if practicable, a volume-weighted average method). The Relevant Price will be determined without regard to after-hours trading or any other trading outside of the regular trading session trading hours.</w:t>
            </w:r>
          </w:p>
        </w:tc>
      </w:tr>
      <w:tr>
        <w:trPr/>
        <w:tc>
          <w:tcPr>
            <w:tcW w:w="75" w:type="dxa"/>
            <w:tcBorders/>
            <w:vAlign w:val="center"/>
          </w:tcPr>
          <w:p>
            <w:pPr>
              <w:pStyle w:val="TableContents"/>
              <w:bidi w:val="0"/>
              <w:spacing w:before="0" w:after="283"/>
              <w:ind w:left="0" w:right="0" w:hanging="0"/>
              <w:jc w:val="left"/>
              <w:rPr/>
            </w:pPr>
            <w:r>
              <w:rPr/>
              <w:t> </w:t>
            </w:r>
          </w:p>
        </w:tc>
        <w:tc>
          <w:tcPr>
            <w:tcW w:w="1576" w:type="dxa"/>
            <w:tcBorders/>
            <w:vAlign w:val="center"/>
          </w:tcPr>
          <w:p>
            <w:pPr>
              <w:pStyle w:val="TableContents"/>
              <w:bidi w:val="0"/>
              <w:spacing w:before="0" w:after="283"/>
              <w:ind w:left="0" w:right="0" w:hanging="0"/>
              <w:jc w:val="both"/>
              <w:rPr/>
            </w:pPr>
            <w:r>
              <w:rPr/>
              <w:t>Settlement Averaging Period:</w:t>
            </w:r>
          </w:p>
        </w:tc>
        <w:tc>
          <w:tcPr>
            <w:tcW w:w="8554" w:type="dxa"/>
            <w:tcBorders/>
            <w:vAlign w:val="center"/>
          </w:tcPr>
          <w:p>
            <w:pPr>
              <w:pStyle w:val="TableContents"/>
              <w:bidi w:val="0"/>
              <w:spacing w:before="0" w:after="283"/>
              <w:jc w:val="both"/>
              <w:rPr/>
            </w:pPr>
            <w:r>
              <w:rPr/>
              <w:t>For any Option, the 60 consecutive Valid Days commencing on, and including, the 61</w:t>
            </w:r>
            <w:r>
              <w:rPr>
                <w:position w:val="8"/>
                <w:sz w:val="19"/>
              </w:rPr>
              <w:t>st</w:t>
            </w:r>
            <w:r>
              <w:rPr/>
              <w:t xml:space="preserve"> Scheduled Valid Day immediately prior to the Expiration Date.</w:t>
            </w:r>
          </w:p>
        </w:tc>
      </w:tr>
      <w:tr>
        <w:trPr/>
        <w:tc>
          <w:tcPr>
            <w:tcW w:w="75" w:type="dxa"/>
            <w:tcBorders/>
            <w:vAlign w:val="center"/>
          </w:tcPr>
          <w:p>
            <w:pPr>
              <w:pStyle w:val="TableContents"/>
              <w:bidi w:val="0"/>
              <w:spacing w:before="0" w:after="283"/>
              <w:ind w:left="0" w:right="0" w:hanging="0"/>
              <w:jc w:val="left"/>
              <w:rPr/>
            </w:pPr>
            <w:r>
              <w:rPr/>
              <w:t> </w:t>
            </w:r>
          </w:p>
        </w:tc>
        <w:tc>
          <w:tcPr>
            <w:tcW w:w="1576" w:type="dxa"/>
            <w:tcBorders/>
            <w:vAlign w:val="center"/>
          </w:tcPr>
          <w:p>
            <w:pPr>
              <w:pStyle w:val="TableContents"/>
              <w:bidi w:val="0"/>
              <w:spacing w:before="0" w:after="283"/>
              <w:ind w:left="0" w:right="0" w:hanging="0"/>
              <w:jc w:val="both"/>
              <w:rPr/>
            </w:pPr>
            <w:r>
              <w:rPr/>
              <w:t>Settlement Date:</w:t>
            </w:r>
          </w:p>
        </w:tc>
        <w:tc>
          <w:tcPr>
            <w:tcW w:w="8554" w:type="dxa"/>
            <w:tcBorders/>
            <w:vAlign w:val="center"/>
          </w:tcPr>
          <w:p>
            <w:pPr>
              <w:pStyle w:val="TableContents"/>
              <w:bidi w:val="0"/>
              <w:spacing w:before="0" w:after="283"/>
              <w:jc w:val="both"/>
              <w:rPr/>
            </w:pPr>
            <w:r>
              <w:rPr/>
              <w:t>For any Option, the second Business Day immediately following the final Valid Day of the Settlement Averaging Period for such Option.</w:t>
            </w:r>
          </w:p>
        </w:tc>
      </w:tr>
      <w:tr>
        <w:trPr/>
        <w:tc>
          <w:tcPr>
            <w:tcW w:w="75" w:type="dxa"/>
            <w:tcBorders/>
            <w:vAlign w:val="center"/>
          </w:tcPr>
          <w:p>
            <w:pPr>
              <w:pStyle w:val="TableContents"/>
              <w:bidi w:val="0"/>
              <w:spacing w:before="0" w:after="283"/>
              <w:ind w:left="0" w:right="0" w:hanging="0"/>
              <w:jc w:val="left"/>
              <w:rPr/>
            </w:pPr>
            <w:r>
              <w:rPr/>
              <w:t> </w:t>
            </w:r>
          </w:p>
        </w:tc>
        <w:tc>
          <w:tcPr>
            <w:tcW w:w="1576" w:type="dxa"/>
            <w:tcBorders/>
            <w:vAlign w:val="center"/>
          </w:tcPr>
          <w:p>
            <w:pPr>
              <w:pStyle w:val="TableContents"/>
              <w:bidi w:val="0"/>
              <w:spacing w:before="0" w:after="283"/>
              <w:ind w:left="0" w:right="0" w:hanging="0"/>
              <w:jc w:val="both"/>
              <w:rPr/>
            </w:pPr>
            <w:r>
              <w:rPr/>
              <w:t>Settlement Currency:</w:t>
            </w:r>
          </w:p>
        </w:tc>
        <w:tc>
          <w:tcPr>
            <w:tcW w:w="8554" w:type="dxa"/>
            <w:tcBorders/>
            <w:vAlign w:val="center"/>
          </w:tcPr>
          <w:p>
            <w:pPr>
              <w:pStyle w:val="TableContents"/>
              <w:bidi w:val="0"/>
              <w:spacing w:before="0" w:after="283"/>
              <w:jc w:val="both"/>
              <w:rPr/>
            </w:pPr>
            <w:r>
              <w:rPr/>
              <w:t>USD</w:t>
            </w:r>
          </w:p>
        </w:tc>
      </w:tr>
      <w:tr>
        <w:trPr/>
        <w:tc>
          <w:tcPr>
            <w:tcW w:w="75" w:type="dxa"/>
            <w:tcBorders/>
            <w:vAlign w:val="center"/>
          </w:tcPr>
          <w:p>
            <w:pPr>
              <w:pStyle w:val="TableContents"/>
              <w:bidi w:val="0"/>
              <w:spacing w:before="0" w:after="283"/>
              <w:ind w:left="0" w:right="0" w:hanging="0"/>
              <w:jc w:val="left"/>
              <w:rPr/>
            </w:pPr>
            <w:r>
              <w:rPr/>
              <w:t> </w:t>
            </w:r>
          </w:p>
        </w:tc>
        <w:tc>
          <w:tcPr>
            <w:tcW w:w="1576" w:type="dxa"/>
            <w:tcBorders/>
            <w:vAlign w:val="center"/>
          </w:tcPr>
          <w:p>
            <w:pPr>
              <w:pStyle w:val="TableContents"/>
              <w:bidi w:val="0"/>
              <w:spacing w:before="0" w:after="283"/>
              <w:ind w:left="0" w:right="0" w:hanging="0"/>
              <w:jc w:val="both"/>
              <w:rPr/>
            </w:pPr>
            <w:r>
              <w:rPr/>
              <w:t>Other Applicable Provisions:</w:t>
            </w:r>
          </w:p>
        </w:tc>
        <w:tc>
          <w:tcPr>
            <w:tcW w:w="8554" w:type="dxa"/>
            <w:tcBorders/>
            <w:vAlign w:val="center"/>
          </w:tcPr>
          <w:p>
            <w:pPr>
              <w:pStyle w:val="TableContents"/>
              <w:bidi w:val="0"/>
              <w:spacing w:before="0" w:after="283"/>
              <w:jc w:val="both"/>
              <w:rPr/>
            </w:pPr>
            <w:r>
              <w:rPr/>
              <w:t>The provisions of Sections 9.1(c), 9.8, 9.9 and 9.11 of the Equity Definitions will be applicable, except that all references in such provisions to “Physically-settled” shall be read as references to “Share Settled”.  “Share Settled” in relation to any Option means that Net Share Settlement or Combination Settlement is applicable to that Option.</w:t>
            </w:r>
          </w:p>
        </w:tc>
      </w:tr>
      <w:tr>
        <w:trPr/>
        <w:tc>
          <w:tcPr>
            <w:tcW w:w="75" w:type="dxa"/>
            <w:tcBorders/>
            <w:vAlign w:val="center"/>
          </w:tcPr>
          <w:p>
            <w:pPr>
              <w:pStyle w:val="TableContents"/>
              <w:bidi w:val="0"/>
              <w:spacing w:before="0" w:after="283"/>
              <w:ind w:left="0" w:right="0" w:hanging="0"/>
              <w:jc w:val="left"/>
              <w:rPr/>
            </w:pPr>
            <w:r>
              <w:rPr/>
              <w:t> </w:t>
            </w:r>
          </w:p>
        </w:tc>
        <w:tc>
          <w:tcPr>
            <w:tcW w:w="1576" w:type="dxa"/>
            <w:tcBorders/>
            <w:vAlign w:val="center"/>
          </w:tcPr>
          <w:p>
            <w:pPr>
              <w:pStyle w:val="TableContents"/>
              <w:bidi w:val="0"/>
              <w:spacing w:before="0" w:after="283"/>
              <w:ind w:left="0" w:right="0" w:hanging="0"/>
              <w:jc w:val="both"/>
              <w:rPr/>
            </w:pPr>
            <w:r>
              <w:rPr/>
              <w:t>Representation and Agreement:</w:t>
            </w:r>
          </w:p>
        </w:tc>
        <w:tc>
          <w:tcPr>
            <w:tcW w:w="8554" w:type="dxa"/>
            <w:tcBorders/>
            <w:vAlign w:val="center"/>
          </w:tcPr>
          <w:p>
            <w:pPr>
              <w:pStyle w:val="TableContents"/>
              <w:bidi w:val="0"/>
              <w:spacing w:before="0" w:after="283"/>
              <w:jc w:val="both"/>
              <w:rPr/>
            </w:pPr>
            <w:r>
              <w:rPr/>
              <w:t>Notwithstanding anything to the contrary in the Equity Definitions (including, but not limited to, Section 9.11 thereof), the parties acknowledge that (i) any Shares delivered to Counterparty shall be, upon delivery, subject to restrictions and limitations arising from Counterparty’s status as issuer of the Shares under applicable securities laws, (ii) Dealer may deliver any Shares required to be delivered hereunder in certificated form in lieu of delivery through the Clearance System, (iii) any Shares delivered to Counterparty may be “restricted securities” (as defined in Rule 144 under the Securities Act of 1933, as amended (the “</w:t>
            </w:r>
            <w:r>
              <w:rPr>
                <w:b/>
              </w:rPr>
              <w:t>Securities Act</w:t>
            </w:r>
            <w:r>
              <w:rPr/>
              <w:t>”)) and (iv) the Representation and Agreement contained in Section 9.11 of the Equity Definitions shall be deemed modified accordingly.</w:t>
            </w:r>
          </w:p>
        </w:tc>
      </w:tr>
    </w:tbl>
    <w:p>
      <w:pPr>
        <w:pStyle w:val="TextBody"/>
        <w:bidi w:val="0"/>
        <w:spacing w:before="0" w:after="283"/>
        <w:jc w:val="left"/>
        <w:rPr/>
      </w:pPr>
      <w:r>
        <w:rPr/>
        <w:t> </w:t>
      </w:r>
    </w:p>
    <w:tbl>
      <w:tblPr>
        <w:tblW w:w="5148" w:type="dxa"/>
        <w:jc w:val="left"/>
        <w:tblInd w:w="0" w:type="dxa"/>
        <w:tblLayout w:type="fixed"/>
        <w:tblCellMar>
          <w:top w:w="0" w:type="dxa"/>
          <w:left w:w="0" w:type="dxa"/>
          <w:bottom w:w="0" w:type="dxa"/>
          <w:right w:w="0" w:type="dxa"/>
        </w:tblCellMar>
      </w:tblPr>
      <w:tblGrid>
        <w:gridCol w:w="38"/>
        <w:gridCol w:w="20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4910" w:type="dxa"/>
            <w:tcBorders/>
            <w:vAlign w:val="center"/>
          </w:tcPr>
          <w:p>
            <w:pPr>
              <w:pStyle w:val="TableContents"/>
              <w:bidi w:val="0"/>
              <w:spacing w:before="0" w:after="283"/>
              <w:jc w:val="left"/>
              <w:rPr>
                <w:b/>
              </w:rPr>
            </w:pPr>
            <w:r>
              <w:rPr>
                <w:b/>
                <w:u w:val="single"/>
              </w:rPr>
              <w:t>Additional Terms applicable to the Transaction</w:t>
            </w: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0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applicable to the Transaction:</w:t>
      </w:r>
    </w:p>
    <w:p>
      <w:pPr>
        <w:pStyle w:val="TextBody"/>
        <w:bidi w:val="0"/>
        <w:spacing w:before="0" w:after="0"/>
        <w:ind w:left="70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2"/>
        <w:gridCol w:w="7898"/>
      </w:tblGrid>
      <w:tr>
        <w:trPr/>
        <w:tc>
          <w:tcPr>
            <w:tcW w:w="75" w:type="dxa"/>
            <w:tcBorders/>
            <w:vAlign w:val="center"/>
          </w:tcPr>
          <w:p>
            <w:pPr>
              <w:pStyle w:val="TableContents"/>
              <w:bidi w:val="0"/>
              <w:spacing w:before="0" w:after="283"/>
              <w:ind w:left="0" w:right="0" w:hanging="0"/>
              <w:jc w:val="left"/>
              <w:rPr/>
            </w:pPr>
            <w:r>
              <w:rPr/>
              <w:t> </w:t>
            </w:r>
          </w:p>
        </w:tc>
        <w:tc>
          <w:tcPr>
            <w:tcW w:w="2232" w:type="dxa"/>
            <w:tcBorders/>
            <w:vAlign w:val="center"/>
          </w:tcPr>
          <w:p>
            <w:pPr>
              <w:pStyle w:val="TableContents"/>
              <w:bidi w:val="0"/>
              <w:spacing w:before="0" w:after="283"/>
              <w:ind w:left="0" w:right="0" w:hanging="0"/>
              <w:jc w:val="both"/>
              <w:rPr/>
            </w:pPr>
            <w:r>
              <w:rPr/>
              <w:t>Potential Adjustment Events:</w:t>
            </w:r>
          </w:p>
        </w:tc>
        <w:tc>
          <w:tcPr>
            <w:tcW w:w="7898" w:type="dxa"/>
            <w:tcBorders/>
            <w:vAlign w:val="center"/>
          </w:tcPr>
          <w:p>
            <w:pPr>
              <w:pStyle w:val="TableContents"/>
              <w:bidi w:val="0"/>
              <w:spacing w:before="0" w:after="283"/>
              <w:jc w:val="both"/>
              <w:rPr/>
            </w:pPr>
            <w:r>
              <w:rPr/>
              <w:t>Notwithstanding Section 11.2(e) of the Equity Definitions, a “Potential Adjustment Event” means an occurrence of</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77"/>
        <w:gridCol w:w="8953"/>
      </w:tblGrid>
      <w:tr>
        <w:trPr/>
        <w:tc>
          <w:tcPr>
            <w:tcW w:w="75" w:type="dxa"/>
            <w:tcBorders/>
            <w:vAlign w:val="center"/>
          </w:tcPr>
          <w:p>
            <w:pPr>
              <w:pStyle w:val="TableContents"/>
              <w:bidi w:val="0"/>
              <w:spacing w:before="0" w:after="283"/>
              <w:ind w:left="0" w:right="0" w:hanging="0"/>
              <w:jc w:val="left"/>
              <w:rPr/>
            </w:pPr>
            <w:r>
              <w:rPr/>
              <w:t> </w:t>
            </w:r>
          </w:p>
        </w:tc>
        <w:tc>
          <w:tcPr>
            <w:tcW w:w="1177" w:type="dxa"/>
            <w:tcBorders/>
            <w:vAlign w:val="center"/>
          </w:tcPr>
          <w:p>
            <w:pPr>
              <w:pStyle w:val="TableContents"/>
              <w:bidi w:val="0"/>
              <w:spacing w:before="0" w:after="283"/>
              <w:ind w:left="0" w:right="0" w:hanging="0"/>
              <w:jc w:val="both"/>
              <w:rPr/>
            </w:pPr>
            <w:r>
              <w:rPr/>
              <w:t> </w:t>
            </w:r>
          </w:p>
        </w:tc>
        <w:tc>
          <w:tcPr>
            <w:tcW w:w="8953" w:type="dxa"/>
            <w:tcBorders/>
            <w:vAlign w:val="center"/>
          </w:tcPr>
          <w:p>
            <w:pPr>
              <w:pStyle w:val="TableContents"/>
              <w:bidi w:val="0"/>
              <w:spacing w:before="0" w:after="283"/>
              <w:jc w:val="both"/>
              <w:rPr/>
            </w:pPr>
            <w:r>
              <w:rPr/>
              <w:t>any event or condition, as set forth in any Dilution Adjustment Provision, that would result in an adjustment under the Indenture to the “Conversion Rate” or the composition of a “Reference Property Unit” or to any “Last Reported Sale Price”, “Daily VWAP,” “Daily Conversion Value,” “Daily Cash Amount” or “Daily Share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are entitled to participate, in each case, in lieu of an adjustment under the Indenture of the type referred to in the immediately preceding sentence (including, without limitation, pursuant to the [   ] sentence of Section [  ]</w:t>
            </w:r>
            <w:r>
              <w:rPr>
                <w:sz w:val="18"/>
              </w:rPr>
              <w:t xml:space="preserve">27 </w:t>
            </w:r>
            <w:r>
              <w:rPr/>
              <w:t>of the Indenture or the [  ] sentence of Section [   ]</w:t>
            </w:r>
            <w:r>
              <w:rPr>
                <w:sz w:val="18"/>
              </w:rPr>
              <w:t>28</w:t>
            </w:r>
            <w:r>
              <w:rPr/>
              <w:t xml:space="preserve"> of the Indenture).</w:t>
            </w:r>
          </w:p>
        </w:tc>
      </w:tr>
      <w:tr>
        <w:trPr/>
        <w:tc>
          <w:tcPr>
            <w:tcW w:w="75" w:type="dxa"/>
            <w:tcBorders/>
            <w:vAlign w:val="center"/>
          </w:tcPr>
          <w:p>
            <w:pPr>
              <w:pStyle w:val="TableContents"/>
              <w:bidi w:val="0"/>
              <w:spacing w:before="0" w:after="283"/>
              <w:ind w:left="0" w:right="0" w:hanging="0"/>
              <w:jc w:val="left"/>
              <w:rPr/>
            </w:pPr>
            <w:r>
              <w:rPr/>
              <w:t> </w:t>
            </w:r>
          </w:p>
        </w:tc>
        <w:tc>
          <w:tcPr>
            <w:tcW w:w="1177" w:type="dxa"/>
            <w:tcBorders/>
            <w:vAlign w:val="center"/>
          </w:tcPr>
          <w:p>
            <w:pPr>
              <w:pStyle w:val="TableContents"/>
              <w:bidi w:val="0"/>
              <w:spacing w:before="0" w:after="283"/>
              <w:ind w:left="0" w:right="0" w:hanging="0"/>
              <w:jc w:val="both"/>
              <w:rPr/>
            </w:pPr>
            <w:r>
              <w:rPr/>
              <w:t>Method of Adjustment:</w:t>
            </w:r>
          </w:p>
        </w:tc>
        <w:tc>
          <w:tcPr>
            <w:tcW w:w="8953" w:type="dxa"/>
            <w:tcBorders/>
            <w:vAlign w:val="center"/>
          </w:tcPr>
          <w:p>
            <w:pPr>
              <w:pStyle w:val="TableContents"/>
              <w:bidi w:val="0"/>
              <w:spacing w:before="0" w:after="283"/>
              <w:jc w:val="both"/>
              <w:rPr/>
            </w:pPr>
            <w:r>
              <w:rPr/>
              <w:t xml:space="preserve">Calculation Agent Adjustment, which shall not have the meaning set forth in Section 11.2(c) of the Equity Definitions and instead shall mean that, upon any Potential Adjustment Event, the Calculation Agent shall make adjustments in a commercially reasonable manner to any one or more of the Strike Price, Number of Options, Option Entitlement and any other variable relevant to the exercise, settlement or payment for the Transaction that correspond to the adjustments to the Convertible Notes under the Indenture; </w:t>
            </w:r>
            <w:r>
              <w:rPr>
                <w:i/>
              </w:rPr>
              <w:t>provided</w:t>
            </w:r>
            <w:r>
              <w:rPr/>
              <w:t xml:space="preserve"> that, notwithstanding the foregoing, if any Potential Adjustment Event occurs during the Settlement Averaging Period but no adjustment was made to the “Conversion Rate” (as defined in the Indenture) pursuant to the Indenture because all “Holders” (as such term is defined in the Indenture) were deemed to be record owners of the underlying Shares on one or more Valid Days during the Settlement Averaging Period, then the Calculation Agent shall determine the adjustment that would have been made to the “Conversion Rate” (as defined in the Indenture) in accordance with the terms of the Indenture and shall then determine the adjustment to be made to any one or more of the Strike Price, Number of Options, Option Entitlement and any other variable relevant to the exercise, settlement or payment for the Transaction in a commercially reasonable manner.</w:t>
            </w:r>
          </w:p>
        </w:tc>
      </w:tr>
      <w:tr>
        <w:trPr/>
        <w:tc>
          <w:tcPr>
            <w:tcW w:w="75" w:type="dxa"/>
            <w:tcBorders/>
            <w:vAlign w:val="center"/>
          </w:tcPr>
          <w:p>
            <w:pPr>
              <w:pStyle w:val="TableContents"/>
              <w:bidi w:val="0"/>
              <w:spacing w:before="0" w:after="283"/>
              <w:ind w:left="0" w:right="0" w:hanging="0"/>
              <w:jc w:val="left"/>
              <w:rPr/>
            </w:pPr>
            <w:r>
              <w:rPr/>
              <w:t> </w:t>
            </w:r>
          </w:p>
        </w:tc>
        <w:tc>
          <w:tcPr>
            <w:tcW w:w="1177" w:type="dxa"/>
            <w:tcBorders/>
            <w:vAlign w:val="center"/>
          </w:tcPr>
          <w:p>
            <w:pPr>
              <w:pStyle w:val="TableContents"/>
              <w:bidi w:val="0"/>
              <w:spacing w:before="0" w:after="283"/>
              <w:ind w:left="0" w:right="0" w:hanging="0"/>
              <w:jc w:val="both"/>
              <w:rPr/>
            </w:pPr>
            <w:r>
              <w:rPr/>
              <w:t> </w:t>
            </w:r>
          </w:p>
        </w:tc>
        <w:tc>
          <w:tcPr>
            <w:tcW w:w="8953" w:type="dxa"/>
            <w:tcBorders/>
            <w:vAlign w:val="center"/>
          </w:tcPr>
          <w:p>
            <w:pPr>
              <w:pStyle w:val="TableContents"/>
              <w:bidi w:val="0"/>
              <w:spacing w:before="0" w:after="283"/>
              <w:jc w:val="both"/>
              <w:rPr/>
            </w:pPr>
            <w:r>
              <w:rPr/>
              <w:t>Notwithstanding the foregoing and “Consequences of Merger Events / Tender Offers” below, if the Calculation Agent in good faith disagrees with any adjustment to the Convertible Notes determined pursuant to the Indenture that is the basis of any adjustment hereunder and that</w:t>
            </w:r>
          </w:p>
        </w:tc>
      </w:tr>
    </w:tbl>
    <w:p>
      <w:pPr>
        <w:pStyle w:val="TextBody"/>
        <w:bidi w:val="0"/>
        <w:spacing w:before="0" w:after="0"/>
        <w:ind w:left="4680" w:right="0" w:hanging="360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27</w:t>
      </w:r>
      <w:r>
        <w:rPr>
          <w:rFonts w:ascii="Times New Roman;Times;Serif" w:hAnsi="Times New Roman;Times;Serif"/>
          <w:b w:val="false"/>
          <w:i w:val="false"/>
          <w:caps w:val="false"/>
          <w:smallCaps w:val="false"/>
          <w:sz w:val="20"/>
        </w:rPr>
        <w:t xml:space="preserve"> Include cross reference to provision in the Indenture providing for pass-through of distributed property, at the same time as it is received by holders of the Shares, in lieu of a Conversion Rate adjustment.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28</w:t>
      </w:r>
      <w:r>
        <w:rPr>
          <w:rFonts w:ascii="Times New Roman;Times;Serif" w:hAnsi="Times New Roman;Times;Serif"/>
          <w:b w:val="false"/>
          <w:i w:val="false"/>
          <w:caps w:val="false"/>
          <w:smallCaps w:val="false"/>
          <w:sz w:val="20"/>
        </w:rPr>
        <w:t xml:space="preserve"> Include cross reference to provision in the Indenture providing for pass-through of cash, at the same time as it is received by holders of the Shares, in lieu of a Conversion Rate adjustment.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10070" w:type="dxa"/>
            <w:tcBorders/>
            <w:vAlign w:val="center"/>
          </w:tcPr>
          <w:p>
            <w:pPr>
              <w:pStyle w:val="TableContents"/>
              <w:bidi w:val="0"/>
              <w:spacing w:before="0" w:after="283"/>
              <w:jc w:val="both"/>
              <w:rPr/>
            </w:pPr>
            <w:r>
              <w:rPr/>
              <w:t>involves an exercise of discretion by Counterparty or its board of directors (including, without limitation, pursuant to Section [  ]</w:t>
            </w:r>
            <w:r>
              <w:rPr>
                <w:position w:val="8"/>
                <w:sz w:val="19"/>
              </w:rPr>
              <w:t>29</w:t>
            </w:r>
            <w:r>
              <w:rPr/>
              <w:t xml:space="preserve"> of the Indenture, Section [   ]</w:t>
            </w:r>
            <w:r>
              <w:rPr>
                <w:position w:val="8"/>
                <w:sz w:val="19"/>
              </w:rPr>
              <w:t>30</w:t>
            </w:r>
            <w:r>
              <w:rPr/>
              <w:t xml:space="preserve"> of the Indenture or any supplemental indenture entered into thereunder or in connection with any proportional adjustment or the determination of the fair value of any securities, property, rights or other assets), then in each such case, the Calculation Agent will determine the adjustment to be made to any one or more of the Strike Price, Number of Options, Option Entitlement and any other variable relevant to the exercise, settlement or payment for the Transaction, using, if applicable, the methodology set forth in the Indenture for any such adjustment, in good faith and in a commercially reasonable manner.</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10070" w:type="dxa"/>
            <w:tcBorders/>
            <w:vAlign w:val="center"/>
          </w:tcPr>
          <w:p>
            <w:pPr>
              <w:pStyle w:val="TableContents"/>
              <w:bidi w:val="0"/>
              <w:spacing w:before="0" w:after="283"/>
              <w:jc w:val="both"/>
              <w:rPr/>
            </w:pPr>
            <w:r>
              <w:rPr/>
              <w:t>Notwithstanding anything contained herein to the contrary, (i) in connection with any Potential Adjustment Event as a result of an event or condition set forth in Section [   ]</w:t>
            </w:r>
            <w:r>
              <w:rPr>
                <w:position w:val="8"/>
                <w:sz w:val="19"/>
              </w:rPr>
              <w:t>31</w:t>
            </w:r>
            <w:r>
              <w:rPr/>
              <w:t xml:space="preserve"> of the Indenture or Section [  ]</w:t>
            </w:r>
            <w:r>
              <w:rPr>
                <w:position w:val="8"/>
                <w:sz w:val="19"/>
              </w:rPr>
              <w:t>32</w:t>
            </w:r>
            <w:r>
              <w:rPr/>
              <w:t xml:space="preserve"> of the Indenture where, in either case, the period for determining “Y” (as such term is used in Section [  ]</w:t>
            </w:r>
            <w:r>
              <w:rPr>
                <w:position w:val="8"/>
                <w:sz w:val="19"/>
              </w:rPr>
              <w:t>33</w:t>
            </w:r>
            <w:r>
              <w:rPr/>
              <w:t xml:space="preserve"> of the Indenture) or “SP” (as such term is used in Section [    ]</w:t>
            </w:r>
            <w:r>
              <w:rPr>
                <w:position w:val="8"/>
                <w:sz w:val="19"/>
              </w:rPr>
              <w:t>34</w:t>
            </w:r>
            <w:r>
              <w:rPr/>
              <w:t xml:space="preserve"> of the Indenture), as the case may be, begins before Counterparty has publicly announced the event or condition giving rise to such Potential Adjustment Event, then the Calculation Agent shall, acting in good faith and in a commercially reasonable manner, have the right to adjust any variable relevant to the exercise, settlement or payment for the Transaction as appropriate to reflect the commercially reasonable costs (including, but not limited to, hedging mismatches and market losses) and commercially reasonable out-of-pocket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 (ii) 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AdjustmentProvision based on such declaration or (c) the “Conversion Rate” (as defined in the Indenture) is adjusted as a result of</w:t>
            </w:r>
          </w:p>
        </w:tc>
      </w:tr>
    </w:tbl>
    <w:p>
      <w:pPr>
        <w:pStyle w:val="TextBody"/>
        <w:bidi w:val="0"/>
        <w:spacing w:before="0" w:after="0"/>
        <w:ind w:left="4680" w:right="0" w:hanging="360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29</w:t>
      </w:r>
      <w:r>
        <w:rPr>
          <w:rFonts w:ascii="Times New Roman;Times;Serif" w:hAnsi="Times New Roman;Times;Serif"/>
          <w:b w:val="false"/>
          <w:i w:val="false"/>
          <w:caps w:val="false"/>
          <w:smallCaps w:val="false"/>
          <w:sz w:val="20"/>
        </w:rPr>
        <w:t xml:space="preserve"> Include cross-reference to specific paragraph of the section of the Indenture providing for adjustments where a Conversion Rate adjustment occurs during a period over which VWAP, conversion value, settlement amount or closing price is calculated.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30</w:t>
      </w:r>
      <w:r>
        <w:rPr>
          <w:rFonts w:ascii="Times New Roman;Times;Serif" w:hAnsi="Times New Roman;Times;Serif"/>
          <w:b w:val="false"/>
          <w:i w:val="false"/>
          <w:caps w:val="false"/>
          <w:smallCaps w:val="false"/>
          <w:sz w:val="20"/>
        </w:rPr>
        <w:t xml:space="preserve"> Include cross-reference to Indenture section relating to merger events.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31</w:t>
      </w:r>
      <w:r>
        <w:rPr>
          <w:rFonts w:ascii="Times New Roman;Times;Serif" w:hAnsi="Times New Roman;Times;Serif"/>
          <w:b w:val="false"/>
          <w:i w:val="false"/>
          <w:caps w:val="false"/>
          <w:smallCaps w:val="false"/>
          <w:sz w:val="20"/>
        </w:rPr>
        <w:t xml:space="preserve"> Include cross-reference to section of the Indenture providing for an adjustment to the Conversion Rate in connection with a below-market rights, options or warrants offering.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32</w:t>
      </w:r>
      <w:r>
        <w:rPr>
          <w:rFonts w:ascii="Times New Roman;Times;Serif" w:hAnsi="Times New Roman;Times;Serif"/>
          <w:b w:val="false"/>
          <w:i w:val="false"/>
          <w:caps w:val="false"/>
          <w:smallCaps w:val="false"/>
          <w:sz w:val="20"/>
        </w:rPr>
        <w:t xml:space="preserve"> Include cross-reference to section of the Indenture providing for an adjustment to the Conversion Rate in connection with distributions of distributed property.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33</w:t>
      </w:r>
      <w:r>
        <w:rPr>
          <w:rFonts w:ascii="Times New Roman;Times;Serif" w:hAnsi="Times New Roman;Times;Serif"/>
          <w:b w:val="false"/>
          <w:i w:val="false"/>
          <w:caps w:val="false"/>
          <w:smallCaps w:val="false"/>
          <w:sz w:val="20"/>
        </w:rPr>
        <w:t xml:space="preserve"> Include cross-reference to section of the Indenture providing for an adjustment to the Conversion Rate in connection with a below-market rights, options or warrants offering.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34</w:t>
      </w:r>
      <w:r>
        <w:rPr>
          <w:rFonts w:ascii="Times New Roman;Times;Serif" w:hAnsi="Times New Roman;Times;Serif"/>
          <w:b w:val="false"/>
          <w:i w:val="false"/>
          <w:caps w:val="false"/>
          <w:smallCaps w:val="false"/>
          <w:sz w:val="20"/>
        </w:rPr>
        <w:t xml:space="preserve"> Include cross-reference to section of the Indenture providing for an adjustment to the Conversion Rate in connection with distributions of distributed property.</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7"/>
        <w:gridCol w:w="8823"/>
      </w:tblGrid>
      <w:tr>
        <w:trPr/>
        <w:tc>
          <w:tcPr>
            <w:tcW w:w="75" w:type="dxa"/>
            <w:tcBorders/>
            <w:vAlign w:val="center"/>
          </w:tcPr>
          <w:p>
            <w:pPr>
              <w:pStyle w:val="TableContents"/>
              <w:bidi w:val="0"/>
              <w:spacing w:before="0" w:after="283"/>
              <w:ind w:left="0" w:right="0" w:hanging="0"/>
              <w:jc w:val="left"/>
              <w:rPr/>
            </w:pPr>
            <w:r>
              <w:rPr/>
              <w:t> </w:t>
            </w:r>
          </w:p>
        </w:tc>
        <w:tc>
          <w:tcPr>
            <w:tcW w:w="1307" w:type="dxa"/>
            <w:tcBorders/>
            <w:vAlign w:val="center"/>
          </w:tcPr>
          <w:p>
            <w:pPr>
              <w:pStyle w:val="TableContents"/>
              <w:bidi w:val="0"/>
              <w:spacing w:before="0" w:after="283"/>
              <w:ind w:left="0" w:right="0" w:hanging="0"/>
              <w:jc w:val="both"/>
              <w:rPr/>
            </w:pPr>
            <w:r>
              <w:rPr/>
              <w:t> </w:t>
            </w:r>
          </w:p>
        </w:tc>
        <w:tc>
          <w:tcPr>
            <w:tcW w:w="8823" w:type="dxa"/>
            <w:tcBorders/>
            <w:vAlign w:val="center"/>
          </w:tcPr>
          <w:p>
            <w:pPr>
              <w:pStyle w:val="TableContents"/>
              <w:bidi w:val="0"/>
              <w:spacing w:before="0" w:after="283"/>
              <w:jc w:val="both"/>
              <w:rPr/>
            </w:pPr>
            <w:r>
              <w:rPr/>
              <w:t>such Potential Adjustment Event and subsequently re-adjusted (each of clauses (a), (b) and (c), a “</w:t>
            </w:r>
            <w:r>
              <w:rPr>
                <w:b/>
              </w:rPr>
              <w:t>Potential Adjustment Event Change</w:t>
            </w:r>
            <w:r>
              <w:rPr/>
              <w:t>”) then, in each case, the Calculation Agent shall have the right to adjust any variable relevant to the exercise, settlement or payment for the Transaction as appropriate to reflect the costs (including, but not limited to, hedging mismatches and market losses) and reasonable out-of-pocket expenses incurred by Dealer in connection with its commercially reasonable hedging activities as a result of such Potential Adjustment Event Change, with such adjustments made assuming that Dealer maintains commercially reasonable hedge positions.</w:t>
            </w:r>
          </w:p>
        </w:tc>
      </w:tr>
      <w:tr>
        <w:trPr/>
        <w:tc>
          <w:tcPr>
            <w:tcW w:w="75" w:type="dxa"/>
            <w:tcBorders/>
            <w:vAlign w:val="center"/>
          </w:tcPr>
          <w:p>
            <w:pPr>
              <w:pStyle w:val="TableContents"/>
              <w:bidi w:val="0"/>
              <w:spacing w:before="0" w:after="283"/>
              <w:ind w:left="0" w:right="0" w:hanging="0"/>
              <w:jc w:val="left"/>
              <w:rPr/>
            </w:pPr>
            <w:r>
              <w:rPr/>
              <w:t> </w:t>
            </w:r>
          </w:p>
        </w:tc>
        <w:tc>
          <w:tcPr>
            <w:tcW w:w="1307" w:type="dxa"/>
            <w:tcBorders/>
            <w:vAlign w:val="center"/>
          </w:tcPr>
          <w:p>
            <w:pPr>
              <w:pStyle w:val="TableContents"/>
              <w:bidi w:val="0"/>
              <w:spacing w:before="0" w:after="283"/>
              <w:ind w:left="0" w:right="0" w:hanging="0"/>
              <w:jc w:val="both"/>
              <w:rPr/>
            </w:pPr>
            <w:r>
              <w:rPr/>
              <w:t>Dilution Adjustment Provisions:</w:t>
            </w:r>
          </w:p>
        </w:tc>
        <w:tc>
          <w:tcPr>
            <w:tcW w:w="8823" w:type="dxa"/>
            <w:tcBorders/>
            <w:vAlign w:val="center"/>
          </w:tcPr>
          <w:p>
            <w:pPr>
              <w:pStyle w:val="TableContents"/>
              <w:bidi w:val="0"/>
              <w:spacing w:before="0" w:after="283"/>
              <w:jc w:val="both"/>
              <w:rPr/>
            </w:pPr>
            <w:r>
              <w:rPr/>
              <w:t>Sections [[  ]([  ]), ([  ]), ([  ]), ([  ]) and ([  ])]</w:t>
            </w:r>
            <w:r>
              <w:rPr>
                <w:position w:val="8"/>
                <w:sz w:val="19"/>
              </w:rPr>
              <w:t>35</w:t>
            </w:r>
            <w:r>
              <w:rPr/>
              <w:t xml:space="preserve"> and Section [    ]</w:t>
            </w:r>
            <w:r>
              <w:rPr>
                <w:position w:val="8"/>
                <w:sz w:val="19"/>
              </w:rPr>
              <w:t xml:space="preserve">36 </w:t>
            </w:r>
            <w:r>
              <w:rPr/>
              <w:t>of the Indenture.</w:t>
            </w:r>
          </w:p>
        </w:tc>
      </w:tr>
    </w:tbl>
    <w:tbl>
      <w:tblPr>
        <w:tblW w:w="5015" w:type="dxa"/>
        <w:jc w:val="left"/>
        <w:tblInd w:w="0" w:type="dxa"/>
        <w:tblLayout w:type="fixed"/>
        <w:tblCellMar>
          <w:top w:w="0" w:type="dxa"/>
          <w:left w:w="0" w:type="dxa"/>
          <w:bottom w:w="0" w:type="dxa"/>
          <w:right w:w="0" w:type="dxa"/>
        </w:tblCellMar>
      </w:tblPr>
      <w:tblGrid>
        <w:gridCol w:w="75"/>
        <w:gridCol w:w="4865"/>
        <w:gridCol w:w="75"/>
      </w:tblGrid>
      <w:tr>
        <w:trPr/>
        <w:tc>
          <w:tcPr>
            <w:tcW w:w="75" w:type="dxa"/>
            <w:tcBorders/>
            <w:vAlign w:val="center"/>
          </w:tcPr>
          <w:p>
            <w:pPr>
              <w:pStyle w:val="TableContents"/>
              <w:bidi w:val="0"/>
              <w:spacing w:before="0" w:after="283"/>
              <w:ind w:left="0" w:right="0" w:hanging="0"/>
              <w:jc w:val="left"/>
              <w:rPr/>
            </w:pPr>
            <w:r>
              <w:rPr/>
              <w:t> </w:t>
            </w:r>
          </w:p>
        </w:tc>
        <w:tc>
          <w:tcPr>
            <w:tcW w:w="4865" w:type="dxa"/>
            <w:tcBorders/>
            <w:vAlign w:val="center"/>
          </w:tcPr>
          <w:p>
            <w:pPr>
              <w:pStyle w:val="TableContents"/>
              <w:bidi w:val="0"/>
              <w:spacing w:before="0" w:after="283"/>
              <w:ind w:left="0" w:right="0" w:hanging="0"/>
              <w:jc w:val="both"/>
              <w:rPr/>
            </w:pPr>
            <w:r>
              <w:rPr/>
              <w:t>Extraordinary Events applicable to the Transaction:</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509"/>
        <w:gridCol w:w="8621"/>
      </w:tblGrid>
      <w:tr>
        <w:trPr/>
        <w:tc>
          <w:tcPr>
            <w:tcW w:w="75" w:type="dxa"/>
            <w:tcBorders/>
            <w:vAlign w:val="center"/>
          </w:tcPr>
          <w:p>
            <w:pPr>
              <w:pStyle w:val="TableContents"/>
              <w:bidi w:val="0"/>
              <w:spacing w:before="0" w:after="283"/>
              <w:ind w:left="0" w:right="0" w:hanging="0"/>
              <w:jc w:val="left"/>
              <w:rPr/>
            </w:pPr>
            <w:r>
              <w:rPr/>
              <w:t> </w:t>
            </w:r>
          </w:p>
        </w:tc>
        <w:tc>
          <w:tcPr>
            <w:tcW w:w="1509" w:type="dxa"/>
            <w:tcBorders/>
            <w:vAlign w:val="center"/>
          </w:tcPr>
          <w:p>
            <w:pPr>
              <w:pStyle w:val="TableContents"/>
              <w:bidi w:val="0"/>
              <w:spacing w:before="0" w:after="283"/>
              <w:ind w:left="0" w:right="0" w:hanging="0"/>
              <w:jc w:val="both"/>
              <w:rPr/>
            </w:pPr>
            <w:r>
              <w:rPr/>
              <w:t>Merger Events:</w:t>
            </w:r>
          </w:p>
        </w:tc>
        <w:tc>
          <w:tcPr>
            <w:tcW w:w="8621" w:type="dxa"/>
            <w:tcBorders/>
            <w:vAlign w:val="center"/>
          </w:tcPr>
          <w:p>
            <w:pPr>
              <w:pStyle w:val="TableContents"/>
              <w:bidi w:val="0"/>
              <w:spacing w:before="0" w:after="283"/>
              <w:jc w:val="both"/>
              <w:rPr/>
            </w:pPr>
            <w:r>
              <w:rPr/>
              <w:t xml:space="preserve">Applicable; </w:t>
            </w:r>
            <w:r>
              <w:rPr>
                <w:i/>
              </w:rPr>
              <w:t>provided</w:t>
            </w:r>
            <w:r>
              <w:rPr/>
              <w:t xml:space="preserve"> that notwithstanding Section 12.1(b) of the Equity Definitions, a “Merger Event” means the occurrence of any event or condition set forth in the definition of “Common Stock Change Event” in Section [   ]</w:t>
            </w:r>
            <w:r>
              <w:rPr>
                <w:position w:val="8"/>
                <w:sz w:val="19"/>
              </w:rPr>
              <w:t>37</w:t>
            </w:r>
            <w:r>
              <w:rPr/>
              <w:t xml:space="preserve"> of the Indenture.</w:t>
            </w:r>
          </w:p>
        </w:tc>
      </w:tr>
      <w:tr>
        <w:trPr/>
        <w:tc>
          <w:tcPr>
            <w:tcW w:w="75" w:type="dxa"/>
            <w:tcBorders/>
            <w:vAlign w:val="center"/>
          </w:tcPr>
          <w:p>
            <w:pPr>
              <w:pStyle w:val="TableContents"/>
              <w:bidi w:val="0"/>
              <w:spacing w:before="0" w:after="283"/>
              <w:ind w:left="0" w:right="0" w:hanging="0"/>
              <w:jc w:val="left"/>
              <w:rPr/>
            </w:pPr>
            <w:r>
              <w:rPr/>
              <w:t> </w:t>
            </w:r>
          </w:p>
        </w:tc>
        <w:tc>
          <w:tcPr>
            <w:tcW w:w="1509" w:type="dxa"/>
            <w:tcBorders/>
            <w:vAlign w:val="center"/>
          </w:tcPr>
          <w:p>
            <w:pPr>
              <w:pStyle w:val="TableContents"/>
              <w:bidi w:val="0"/>
              <w:spacing w:before="0" w:after="283"/>
              <w:ind w:left="0" w:right="0" w:hanging="0"/>
              <w:jc w:val="both"/>
              <w:rPr/>
            </w:pPr>
            <w:r>
              <w:rPr/>
              <w:t>Tender Offers:</w:t>
            </w:r>
          </w:p>
        </w:tc>
        <w:tc>
          <w:tcPr>
            <w:tcW w:w="8621" w:type="dxa"/>
            <w:tcBorders/>
            <w:vAlign w:val="center"/>
          </w:tcPr>
          <w:p>
            <w:pPr>
              <w:pStyle w:val="TableContents"/>
              <w:bidi w:val="0"/>
              <w:spacing w:before="0" w:after="283"/>
              <w:jc w:val="both"/>
              <w:rPr/>
            </w:pPr>
            <w:r>
              <w:rPr/>
              <w:t xml:space="preserve">Applicable; </w:t>
            </w:r>
            <w:r>
              <w:rPr>
                <w:i/>
              </w:rPr>
              <w:t xml:space="preserve">provided </w:t>
            </w:r>
            <w:r>
              <w:rPr/>
              <w:t>that “Tender Offer” shall not have the meaning set forth in Section 12.1(d) of the Equity Definitions and instead shall mean the occurrence of any event or condition set forth in Section [  ]</w:t>
            </w:r>
            <w:r>
              <w:rPr>
                <w:position w:val="8"/>
                <w:sz w:val="19"/>
              </w:rPr>
              <w:t>38</w:t>
            </w:r>
            <w:r>
              <w:rPr/>
              <w:t xml:space="preserve"> of the Indenture.  </w:t>
            </w:r>
          </w:p>
        </w:tc>
      </w:tr>
      <w:tr>
        <w:trPr/>
        <w:tc>
          <w:tcPr>
            <w:tcW w:w="75" w:type="dxa"/>
            <w:tcBorders/>
            <w:vAlign w:val="center"/>
          </w:tcPr>
          <w:p>
            <w:pPr>
              <w:pStyle w:val="TableContents"/>
              <w:bidi w:val="0"/>
              <w:spacing w:before="0" w:after="283"/>
              <w:ind w:left="0" w:right="0" w:hanging="0"/>
              <w:jc w:val="left"/>
              <w:rPr/>
            </w:pPr>
            <w:r>
              <w:rPr/>
              <w:t> </w:t>
            </w:r>
          </w:p>
        </w:tc>
        <w:tc>
          <w:tcPr>
            <w:tcW w:w="1509" w:type="dxa"/>
            <w:tcBorders/>
            <w:vAlign w:val="center"/>
          </w:tcPr>
          <w:p>
            <w:pPr>
              <w:pStyle w:val="TableContents"/>
              <w:bidi w:val="0"/>
              <w:spacing w:before="0" w:after="283"/>
              <w:ind w:left="0" w:right="0" w:hanging="0"/>
              <w:jc w:val="both"/>
              <w:rPr/>
            </w:pPr>
            <w:r>
              <w:rPr/>
              <w:t>Consequences of Merger Events/</w:t>
            </w:r>
          </w:p>
        </w:tc>
        <w:tc>
          <w:tcPr>
            <w:tcW w:w="86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509" w:type="dxa"/>
            <w:tcBorders/>
            <w:vAlign w:val="center"/>
          </w:tcPr>
          <w:p>
            <w:pPr>
              <w:pStyle w:val="TableContents"/>
              <w:bidi w:val="0"/>
              <w:spacing w:before="0" w:after="283"/>
              <w:ind w:left="0" w:right="0" w:hanging="0"/>
              <w:jc w:val="both"/>
              <w:rPr/>
            </w:pPr>
            <w:r>
              <w:rPr/>
              <w:t>Tender Offers:</w:t>
            </w:r>
          </w:p>
        </w:tc>
        <w:tc>
          <w:tcPr>
            <w:tcW w:w="8621" w:type="dxa"/>
            <w:tcBorders/>
            <w:vAlign w:val="center"/>
          </w:tcPr>
          <w:p>
            <w:pPr>
              <w:pStyle w:val="TableContents"/>
              <w:bidi w:val="0"/>
              <w:spacing w:before="0" w:after="283"/>
              <w:jc w:val="both"/>
              <w:rPr/>
            </w:pPr>
            <w:r>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subject to the second paragraph under “Method of Adjustment”; </w:t>
            </w:r>
            <w:r>
              <w:rPr>
                <w:i/>
              </w:rPr>
              <w:t>provided</w:t>
            </w:r>
            <w:r>
              <w:rPr/>
              <w:t xml:space="preserve">, </w:t>
            </w:r>
            <w:r>
              <w:rPr>
                <w:i/>
              </w:rPr>
              <w:t>however</w:t>
            </w:r>
            <w:r>
              <w:rPr/>
              <w:t xml:space="preserve">, that such adjustment shall be made without regard to any adjustment to the “Conversion Rate” (as defined in the Indenture) pursuant to any Excluded Provision; </w:t>
            </w:r>
            <w:r>
              <w:rPr>
                <w:i/>
              </w:rPr>
              <w:t>provided further</w:t>
            </w:r>
            <w:r>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w:t>
            </w:r>
          </w:p>
        </w:tc>
      </w:tr>
    </w:tbl>
    <w:p>
      <w:pPr>
        <w:pStyle w:val="TextBody"/>
        <w:bidi w:val="0"/>
        <w:spacing w:before="0" w:after="0"/>
        <w:ind w:left="4680" w:right="0" w:hanging="360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35</w:t>
      </w:r>
      <w:r>
        <w:rPr>
          <w:rFonts w:ascii="Times New Roman;Times;Serif" w:hAnsi="Times New Roman;Times;Serif"/>
          <w:b w:val="false"/>
          <w:i w:val="false"/>
          <w:caps w:val="false"/>
          <w:smallCaps w:val="false"/>
          <w:sz w:val="20"/>
        </w:rPr>
        <w:t xml:space="preserve"> Include cross-reference to specific paragraphs of the section of the Indenture containing anti-dilution adjustments to the Conversion Rate.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36</w:t>
      </w:r>
      <w:r>
        <w:rPr>
          <w:rFonts w:ascii="Times New Roman;Times;Serif" w:hAnsi="Times New Roman;Times;Serif"/>
          <w:b w:val="false"/>
          <w:i w:val="false"/>
          <w:caps w:val="false"/>
          <w:smallCaps w:val="false"/>
          <w:sz w:val="20"/>
        </w:rPr>
        <w:t xml:space="preserve"> Include cross-reference to specific paragraph of the section of the Indenture providing for adjustments where a Conversion Rate adjustment occurs during a period over which VWAP, conversion value, settlement amount or closing price is calculated.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37</w:t>
      </w:r>
      <w:r>
        <w:rPr>
          <w:rFonts w:ascii="Times New Roman;Times;Serif" w:hAnsi="Times New Roman;Times;Serif"/>
          <w:b w:val="false"/>
          <w:i w:val="false"/>
          <w:caps w:val="false"/>
          <w:smallCaps w:val="false"/>
          <w:sz w:val="20"/>
        </w:rPr>
        <w:t xml:space="preserve"> Include cross-reference to the section of the Indenture describing consequences of merger events.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38</w:t>
      </w:r>
      <w:r>
        <w:rPr>
          <w:rFonts w:ascii="Times New Roman;Times;Serif" w:hAnsi="Times New Roman;Times;Serif"/>
          <w:b w:val="false"/>
          <w:i w:val="false"/>
          <w:caps w:val="false"/>
          <w:smallCaps w:val="false"/>
          <w:sz w:val="20"/>
        </w:rPr>
        <w:t xml:space="preserve"> Include cross-reference to the section of the Indenture describing consequences of tender offers.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5"/>
        <w:gridCol w:w="8545"/>
      </w:tblGrid>
      <w:tr>
        <w:trPr/>
        <w:tc>
          <w:tcPr>
            <w:tcW w:w="75" w:type="dxa"/>
            <w:tcBorders/>
            <w:vAlign w:val="center"/>
          </w:tcPr>
          <w:p>
            <w:pPr>
              <w:pStyle w:val="TableContents"/>
              <w:bidi w:val="0"/>
              <w:spacing w:before="0" w:after="283"/>
              <w:ind w:left="0" w:right="0" w:hanging="0"/>
              <w:jc w:val="left"/>
              <w:rPr/>
            </w:pPr>
            <w:r>
              <w:rPr/>
              <w:t> </w:t>
            </w:r>
          </w:p>
        </w:tc>
        <w:tc>
          <w:tcPr>
            <w:tcW w:w="1585" w:type="dxa"/>
            <w:tcBorders/>
            <w:vAlign w:val="center"/>
          </w:tcPr>
          <w:p>
            <w:pPr>
              <w:pStyle w:val="TableContents"/>
              <w:bidi w:val="0"/>
              <w:spacing w:before="0" w:after="283"/>
              <w:ind w:left="0" w:right="0" w:hanging="0"/>
              <w:jc w:val="both"/>
              <w:rPr/>
            </w:pPr>
            <w:r>
              <w:rPr/>
              <w:t> </w:t>
            </w:r>
          </w:p>
        </w:tc>
        <w:tc>
          <w:tcPr>
            <w:tcW w:w="8545" w:type="dxa"/>
            <w:tcBorders/>
            <w:vAlign w:val="center"/>
          </w:tcPr>
          <w:p>
            <w:pPr>
              <w:pStyle w:val="TableContents"/>
              <w:bidi w:val="0"/>
              <w:spacing w:before="0" w:after="283"/>
              <w:jc w:val="both"/>
              <w:rPr/>
            </w:pPr>
            <w:r>
              <w:rPr/>
              <w:t xml:space="preserve">following such Merger Event or Tender Offer will not be a corporation organized under the laws of the United States, any State thereof or the District of Columbia, then, in either case, Cancellation and Payment (Calculation Agent Determination) may apply at Dealer’s commercially reasonable election if (A) Dealer determines at any time following the occurrence of such Merger Event or Tender Offer that (x) such Merger Event or Tender Offer has had or will have an adverse effect on Dealer’s rights and obligations under the Transaction or (y) Dealer will incur or has incurred an increased (as compared with circumstances existing on the Trade Date) amount of tax, duty, expense or fee to (1) acquire, establish, re-establish, substitute, maintain, unwind or dispose of any transaction(s) or asset(s) constituting a commercially reasonable hedge position in respect of the economic risk of entering into and performing its obligations with respect to the Transaction or (2) realize, recover or remit the proceeds of any transaction(s) or asset(s) constituting a commercially reasonable hedge position in respect of the economic risk of entering into and performing its obligations with respect to the Transaction or (B) Dealer determines, in its good faith and reasonable judgment, that it will not be in compliance with applicable legal, regulatory or self-regulatory requirements, or with related policies and procedures, applicable to Dealer; </w:t>
            </w:r>
            <w:r>
              <w:rPr>
                <w:i/>
              </w:rPr>
              <w:t>provided further</w:t>
            </w:r>
            <w:r>
              <w:rPr/>
              <w:t xml:space="preserve"> that, for the avoidance of doubt, adjustments shall be made pursuant to the provisions set forth above regardless of whether any Merger Event or Tender Offer gives rise to an Early Conversion.</w:t>
            </w:r>
          </w:p>
        </w:tc>
      </w:tr>
      <w:tr>
        <w:trPr/>
        <w:tc>
          <w:tcPr>
            <w:tcW w:w="75" w:type="dxa"/>
            <w:tcBorders/>
            <w:vAlign w:val="center"/>
          </w:tcPr>
          <w:p>
            <w:pPr>
              <w:pStyle w:val="TableContents"/>
              <w:bidi w:val="0"/>
              <w:spacing w:before="0" w:after="283"/>
              <w:ind w:left="0" w:right="0" w:hanging="0"/>
              <w:jc w:val="left"/>
              <w:rPr/>
            </w:pPr>
            <w:r>
              <w:rPr/>
              <w:t> </w:t>
            </w:r>
          </w:p>
        </w:tc>
        <w:tc>
          <w:tcPr>
            <w:tcW w:w="1585" w:type="dxa"/>
            <w:tcBorders/>
            <w:vAlign w:val="center"/>
          </w:tcPr>
          <w:p>
            <w:pPr>
              <w:pStyle w:val="TableContents"/>
              <w:bidi w:val="0"/>
              <w:spacing w:before="0" w:after="283"/>
              <w:ind w:left="0" w:right="0" w:hanging="0"/>
              <w:jc w:val="both"/>
              <w:rPr/>
            </w:pPr>
            <w:r>
              <w:rPr/>
              <w:t>Consequences of Announcement Events:</w:t>
            </w:r>
          </w:p>
        </w:tc>
        <w:tc>
          <w:tcPr>
            <w:tcW w:w="8545" w:type="dxa"/>
            <w:tcBorders/>
            <w:vAlign w:val="center"/>
          </w:tcPr>
          <w:p>
            <w:pPr>
              <w:pStyle w:val="TableContents"/>
              <w:bidi w:val="0"/>
              <w:spacing w:before="0" w:after="283"/>
              <w:jc w:val="both"/>
              <w:rPr/>
            </w:pPr>
            <w:r>
              <w:rPr/>
              <w:t xml:space="preserve">Modified Calculation Agent Adjustment as set forth in Section 12.3(d) of the Equity Definitions; </w:t>
            </w:r>
            <w:r>
              <w:rPr>
                <w:i/>
              </w:rPr>
              <w:t>provided</w:t>
            </w:r>
            <w:r>
              <w:rPr/>
              <w:t xml:space="preserve"> that, in respect of an Announcement Event, (x) references to “Tender Offer” shall be replaced by references to “Announcement Event” and references to “Tender Offer Date” shall be replaced by references to “date of such Announcement Event”, (y) the phrase “exercise, settlement, payment or any other terms of the Transaction (including, without limitation, the spread)” shall be replaced with the phrase “Cap Price (</w:t>
            </w:r>
            <w:r>
              <w:rPr>
                <w:i/>
              </w:rPr>
              <w:t>provided</w:t>
            </w:r>
            <w:r>
              <w:rPr/>
              <w:t xml:space="preserve"> that in no event shall the Cap Price be less than the Strike Price)” and the words “whether within a commercially reasonable (as determined by the Calculation Agent) period of time prior to or after the Announcement Event,” shall be inserted prior to the word “which” in the seventh line, and (z) for the avoidance of doubt, the Calculation Agent shall determine whether the relevant Announcement Event has had a material economic effect on the Transaction (and, if so, shall, acting in good faith and in a commercially reasonable manner, adjust the Cap Price accordingly) on one or more occasions on or after the date of the Announcement Event up to, and including, the Expiration Date, any Early Termination Date and/or any other date of cancellation, it being understood that any adjustment in</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2"/>
        <w:gridCol w:w="8628"/>
      </w:tblGrid>
      <w:tr>
        <w:trPr/>
        <w:tc>
          <w:tcPr>
            <w:tcW w:w="75" w:type="dxa"/>
            <w:tcBorders/>
            <w:vAlign w:val="center"/>
          </w:tcPr>
          <w:p>
            <w:pPr>
              <w:pStyle w:val="TableContents"/>
              <w:bidi w:val="0"/>
              <w:spacing w:before="0" w:after="283"/>
              <w:ind w:left="0" w:right="0" w:hanging="0"/>
              <w:jc w:val="left"/>
              <w:rPr/>
            </w:pPr>
            <w:r>
              <w:rPr/>
              <w:t> </w:t>
            </w:r>
          </w:p>
        </w:tc>
        <w:tc>
          <w:tcPr>
            <w:tcW w:w="1502" w:type="dxa"/>
            <w:tcBorders/>
            <w:vAlign w:val="center"/>
          </w:tcPr>
          <w:p>
            <w:pPr>
              <w:pStyle w:val="TableContents"/>
              <w:bidi w:val="0"/>
              <w:spacing w:before="0" w:after="283"/>
              <w:ind w:left="0" w:right="0" w:hanging="0"/>
              <w:jc w:val="both"/>
              <w:rPr/>
            </w:pPr>
            <w:r>
              <w:rPr/>
              <w:t> </w:t>
            </w:r>
          </w:p>
        </w:tc>
        <w:tc>
          <w:tcPr>
            <w:tcW w:w="8628" w:type="dxa"/>
            <w:tcBorders/>
            <w:vAlign w:val="center"/>
          </w:tcPr>
          <w:p>
            <w:pPr>
              <w:pStyle w:val="TableContents"/>
              <w:bidi w:val="0"/>
              <w:spacing w:before="0" w:after="283"/>
              <w:jc w:val="both"/>
              <w:rPr/>
            </w:pPr>
            <w:r>
              <w:rPr/>
              <w:t>respect of an Announcement Event shall take into account any earlier adjustment relating to the same Announcement Event.  An Announcement Event shall be an “Extraordinary Event” for purposes of the Equity Definitions, to which Article 12 of the Equity Definitions, as modified in this paragraph, is applicable.</w:t>
            </w:r>
          </w:p>
        </w:tc>
      </w:tr>
      <w:tr>
        <w:trPr/>
        <w:tc>
          <w:tcPr>
            <w:tcW w:w="75" w:type="dxa"/>
            <w:tcBorders/>
            <w:vAlign w:val="center"/>
          </w:tcPr>
          <w:p>
            <w:pPr>
              <w:pStyle w:val="TableContents"/>
              <w:bidi w:val="0"/>
              <w:spacing w:before="0" w:after="283"/>
              <w:ind w:left="0" w:right="0" w:hanging="0"/>
              <w:jc w:val="left"/>
              <w:rPr/>
            </w:pPr>
            <w:r>
              <w:rPr/>
              <w:t> </w:t>
            </w:r>
          </w:p>
        </w:tc>
        <w:tc>
          <w:tcPr>
            <w:tcW w:w="1502" w:type="dxa"/>
            <w:tcBorders/>
            <w:vAlign w:val="center"/>
          </w:tcPr>
          <w:p>
            <w:pPr>
              <w:pStyle w:val="TableContents"/>
              <w:bidi w:val="0"/>
              <w:spacing w:before="0" w:after="283"/>
              <w:ind w:left="0" w:right="0" w:hanging="0"/>
              <w:jc w:val="both"/>
              <w:rPr/>
            </w:pPr>
            <w:r>
              <w:rPr/>
              <w:t>Announcement Event:</w:t>
            </w:r>
          </w:p>
        </w:tc>
        <w:tc>
          <w:tcPr>
            <w:tcW w:w="8628" w:type="dxa"/>
            <w:tcBorders/>
            <w:vAlign w:val="center"/>
          </w:tcPr>
          <w:p>
            <w:pPr>
              <w:pStyle w:val="TableContents"/>
              <w:bidi w:val="0"/>
              <w:spacing w:before="0" w:after="283"/>
              <w:jc w:val="both"/>
              <w:rPr/>
            </w:pPr>
            <w:r>
              <w:rPr/>
              <w:t>(i) The public announcement by the Issuer, any subsidiary or agent of the Issuer or any Valid Third Party Entity of (x) any transaction or event that, if completed, would constitute a Merger Event or Tender Offer, (y) any potential acquisition or disposition by the Issuer and/or its subsidiaries where the aggregate consideration exceeds 35% (such percentage, the “</w:t>
            </w:r>
            <w:r>
              <w:rPr>
                <w:b/>
              </w:rPr>
              <w:t>Transformative Transaction Percentage</w:t>
            </w:r>
            <w:r>
              <w:rPr/>
              <w:t>”) of the market capitalization of the Issuer as of the date of such announcement (a “</w:t>
            </w:r>
            <w:r>
              <w:rPr>
                <w:b/>
              </w:rPr>
              <w:t>Transformative Transaction</w:t>
            </w:r>
            <w:r>
              <w:rPr/>
              <w:t xml:space="preserve">”) or (z) the intention to enter into a Merger Event or Tender Offer or a Transformative Transaction, (ii) the public announcement by the Issuer of an intention to solicit or enter into, or to explore strategic alternatives or other similar undertakings that may include, a Merger Event or Tender Offer or a Transformative Transaction or (iii) any subsequent public announcement by the Issuer, any subsidiary or agent of the Issuer or any Valid Third Party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(A)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 and (B) “Tender Offer” shall mean such term as defined under Section 12.1(d) of the Equity Definitions, except that all references to “voting shares” in Sections 12.1(d), 12.1(e) and 12.1(l) of the Equity Definitions shall be deemed to be references to “Shares”; </w:t>
            </w:r>
            <w:r>
              <w:rPr>
                <w:i/>
              </w:rPr>
              <w:t>provided</w:t>
            </w:r>
            <w:r>
              <w:rPr/>
              <w:t xml:space="preserve"> that Section 12.1(d) of the Equity Definitions is hereby amended by replacing “10%” with “25%” (such percentage, the “</w:t>
            </w:r>
            <w:r>
              <w:rPr>
                <w:b/>
              </w:rPr>
              <w:t>Tender Offer Percentage</w:t>
            </w:r>
            <w:r>
              <w:rPr/>
              <w:t>”) in the third line thereof.</w:t>
            </w:r>
          </w:p>
        </w:tc>
      </w:tr>
      <w:tr>
        <w:trPr/>
        <w:tc>
          <w:tcPr>
            <w:tcW w:w="75" w:type="dxa"/>
            <w:tcBorders/>
            <w:vAlign w:val="center"/>
          </w:tcPr>
          <w:p>
            <w:pPr>
              <w:pStyle w:val="TableContents"/>
              <w:bidi w:val="0"/>
              <w:spacing w:before="0" w:after="283"/>
              <w:ind w:left="0" w:right="0" w:hanging="0"/>
              <w:jc w:val="left"/>
              <w:rPr/>
            </w:pPr>
            <w:r>
              <w:rPr/>
              <w:t> </w:t>
            </w:r>
          </w:p>
        </w:tc>
        <w:tc>
          <w:tcPr>
            <w:tcW w:w="1502" w:type="dxa"/>
            <w:tcBorders/>
            <w:vAlign w:val="center"/>
          </w:tcPr>
          <w:p>
            <w:pPr>
              <w:pStyle w:val="TableContents"/>
              <w:bidi w:val="0"/>
              <w:spacing w:before="0" w:after="283"/>
              <w:ind w:left="0" w:right="0" w:hanging="0"/>
              <w:jc w:val="both"/>
              <w:rPr/>
            </w:pPr>
            <w:r>
              <w:rPr/>
              <w:t>Valid Third Party Entity:</w:t>
            </w:r>
          </w:p>
        </w:tc>
        <w:tc>
          <w:tcPr>
            <w:tcW w:w="8628" w:type="dxa"/>
            <w:tcBorders/>
            <w:vAlign w:val="center"/>
          </w:tcPr>
          <w:p>
            <w:pPr>
              <w:pStyle w:val="TableContents"/>
              <w:bidi w:val="0"/>
              <w:spacing w:before="0" w:after="283"/>
              <w:jc w:val="both"/>
              <w:rPr/>
            </w:pPr>
            <w:r>
              <w:rPr/>
              <w:t>In respect of any transaction, any third party (or any agent or subsidiary of such third party) that has a bona fide intent to enter into or consummate such transaction (it being understood and agreed that in determining whether such third party has such a bona fide intent, the Calculation</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59"/>
        <w:gridCol w:w="8371"/>
      </w:tblGrid>
      <w:tr>
        <w:trPr/>
        <w:tc>
          <w:tcPr>
            <w:tcW w:w="75" w:type="dxa"/>
            <w:tcBorders/>
            <w:vAlign w:val="center"/>
          </w:tcPr>
          <w:p>
            <w:pPr>
              <w:pStyle w:val="TableContents"/>
              <w:bidi w:val="0"/>
              <w:spacing w:before="0" w:after="283"/>
              <w:ind w:left="0" w:right="0" w:hanging="0"/>
              <w:jc w:val="left"/>
              <w:rPr/>
            </w:pPr>
            <w:r>
              <w:rPr/>
              <w:t> </w:t>
            </w:r>
          </w:p>
        </w:tc>
        <w:tc>
          <w:tcPr>
            <w:tcW w:w="1759" w:type="dxa"/>
            <w:tcBorders/>
            <w:vAlign w:val="center"/>
          </w:tcPr>
          <w:p>
            <w:pPr>
              <w:pStyle w:val="TableContents"/>
              <w:bidi w:val="0"/>
              <w:spacing w:before="0" w:after="283"/>
              <w:ind w:left="0" w:right="0" w:hanging="0"/>
              <w:jc w:val="both"/>
              <w:rPr/>
            </w:pPr>
            <w:r>
              <w:rPr/>
              <w:t> </w:t>
            </w:r>
          </w:p>
        </w:tc>
        <w:tc>
          <w:tcPr>
            <w:tcW w:w="8371" w:type="dxa"/>
            <w:tcBorders/>
            <w:vAlign w:val="center"/>
          </w:tcPr>
          <w:p>
            <w:pPr>
              <w:pStyle w:val="TableContents"/>
              <w:bidi w:val="0"/>
              <w:spacing w:before="0" w:after="283"/>
              <w:jc w:val="both"/>
              <w:rPr/>
            </w:pPr>
            <w:r>
              <w:rPr/>
              <w:t>Agent may take into consideration the effect of the relevant announcement by such third party on the Shares and/or options relating to the Shares).</w:t>
            </w:r>
          </w:p>
        </w:tc>
      </w:tr>
      <w:tr>
        <w:trPr/>
        <w:tc>
          <w:tcPr>
            <w:tcW w:w="75" w:type="dxa"/>
            <w:tcBorders/>
            <w:vAlign w:val="center"/>
          </w:tcPr>
          <w:p>
            <w:pPr>
              <w:pStyle w:val="TableContents"/>
              <w:bidi w:val="0"/>
              <w:spacing w:before="0" w:after="283"/>
              <w:ind w:left="0" w:right="0" w:hanging="0"/>
              <w:jc w:val="left"/>
              <w:rPr/>
            </w:pPr>
            <w:r>
              <w:rPr/>
              <w:t> </w:t>
            </w:r>
          </w:p>
        </w:tc>
        <w:tc>
          <w:tcPr>
            <w:tcW w:w="1759" w:type="dxa"/>
            <w:tcBorders/>
            <w:vAlign w:val="center"/>
          </w:tcPr>
          <w:p>
            <w:pPr>
              <w:pStyle w:val="TableContents"/>
              <w:bidi w:val="0"/>
              <w:spacing w:before="0" w:after="283"/>
              <w:ind w:left="0" w:right="0" w:hanging="0"/>
              <w:jc w:val="both"/>
              <w:rPr/>
            </w:pPr>
            <w:r>
              <w:rPr/>
              <w:t>Nationalization, Insolvency or Delisting:</w:t>
            </w:r>
          </w:p>
        </w:tc>
        <w:tc>
          <w:tcPr>
            <w:tcW w:w="8371" w:type="dxa"/>
            <w:tcBorders/>
            <w:vAlign w:val="center"/>
          </w:tcPr>
          <w:p>
            <w:pPr>
              <w:pStyle w:val="TableContents"/>
              <w:bidi w:val="0"/>
              <w:spacing w:before="0" w:after="283"/>
              <w:jc w:val="both"/>
              <w:rPr/>
            </w:pPr>
            <w:r>
              <w:rPr/>
              <w:t xml:space="preserve">Cancellation and Payment (Calculation Agent Determination); </w:t>
            </w:r>
            <w:r>
              <w:rPr>
                <w:i/>
              </w:rPr>
              <w:t>provided</w:t>
            </w:r>
            <w:r>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tc>
      </w:tr>
    </w:tbl>
    <w:tbl>
      <w:tblPr>
        <w:tblW w:w="10205" w:type="dxa"/>
        <w:jc w:val="left"/>
        <w:tblInd w:w="0" w:type="dxa"/>
        <w:tblLayout w:type="fixed"/>
        <w:tblCellMar>
          <w:top w:w="0" w:type="dxa"/>
          <w:left w:w="0" w:type="dxa"/>
          <w:bottom w:w="0" w:type="dxa"/>
          <w:right w:w="0" w:type="dxa"/>
        </w:tblCellMar>
      </w:tblPr>
      <w:tblGrid>
        <w:gridCol w:w="75"/>
        <w:gridCol w:w="1150"/>
        <w:gridCol w:w="8980"/>
      </w:tblGrid>
      <w:tr>
        <w:trPr/>
        <w:tc>
          <w:tcPr>
            <w:tcW w:w="75" w:type="dxa"/>
            <w:tcBorders/>
            <w:vAlign w:val="center"/>
          </w:tcPr>
          <w:p>
            <w:pPr>
              <w:pStyle w:val="TableContents"/>
              <w:bidi w:val="0"/>
              <w:spacing w:before="0" w:after="283"/>
              <w:ind w:left="0" w:right="0" w:hanging="0"/>
              <w:jc w:val="left"/>
              <w:rPr/>
            </w:pPr>
            <w:r>
              <w:rPr/>
              <w:t> </w:t>
            </w:r>
          </w:p>
        </w:tc>
        <w:tc>
          <w:tcPr>
            <w:tcW w:w="1150" w:type="dxa"/>
            <w:tcBorders/>
            <w:vAlign w:val="center"/>
          </w:tcPr>
          <w:p>
            <w:pPr>
              <w:pStyle w:val="TableContents"/>
              <w:bidi w:val="0"/>
              <w:spacing w:before="0" w:after="283"/>
              <w:ind w:left="0" w:right="0" w:hanging="0"/>
              <w:jc w:val="both"/>
              <w:rPr/>
            </w:pPr>
            <w:r>
              <w:rPr/>
              <w:t>Additional Disruption Events:</w:t>
            </w:r>
          </w:p>
        </w:tc>
        <w:tc>
          <w:tcPr>
            <w:tcW w:w="89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150" w:type="dxa"/>
            <w:tcBorders/>
            <w:vAlign w:val="center"/>
          </w:tcPr>
          <w:p>
            <w:pPr>
              <w:pStyle w:val="TableContents"/>
              <w:bidi w:val="0"/>
              <w:spacing w:before="0" w:after="283"/>
              <w:ind w:left="0" w:right="0" w:hanging="0"/>
              <w:jc w:val="both"/>
              <w:rPr/>
            </w:pPr>
            <w:r>
              <w:rPr/>
              <w:t>Change in Law:</w:t>
            </w:r>
          </w:p>
        </w:tc>
        <w:tc>
          <w:tcPr>
            <w:tcW w:w="8980" w:type="dxa"/>
            <w:tcBorders/>
            <w:vAlign w:val="center"/>
          </w:tcPr>
          <w:p>
            <w:pPr>
              <w:pStyle w:val="TableContents"/>
              <w:bidi w:val="0"/>
              <w:spacing w:before="0" w:after="283"/>
              <w:jc w:val="both"/>
              <w:rPr/>
            </w:pPr>
            <w:r>
              <w:rPr/>
              <w:t xml:space="preserve">Applicable; </w:t>
            </w:r>
            <w:r>
              <w:rPr>
                <w:i/>
              </w:rPr>
              <w:t>provided</w:t>
            </w:r>
            <w:r>
              <w:rPr/>
              <w:t xml:space="preserve"> 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 and (iii) replacing the parenthetical beginning after the word “regulation” in the second line thereof with the words “(including, for the avoidance of doubt and without limitation, (x) any tax law or (y) adoption, effectiveness or promulgation of new regulations authorized or mandated by existing statute)”. Notwithstanding anything to the contrary in the Equity Definitions, a Change in Law described in clause (Y) of Section 12.9(a)(ii) of the Equity Definitions shall not constitute a Change in Law and instead shall constitute an Increased Cost of Hedging as described in Section 12.9(a)(vi) of the Equity Definitions, and any such determination of a Change in Law shall be consistently applied by the affected party across transactions similar to the Transaction and for counterparties similar to Counterparty.</w:t>
            </w:r>
          </w:p>
        </w:tc>
      </w:tr>
    </w:tbl>
    <w:tbl>
      <w:tblPr>
        <w:tblW w:w="2890" w:type="dxa"/>
        <w:jc w:val="left"/>
        <w:tblInd w:w="0" w:type="dxa"/>
        <w:tblLayout w:type="fixed"/>
        <w:tblCellMar>
          <w:top w:w="0" w:type="dxa"/>
          <w:left w:w="0" w:type="dxa"/>
          <w:bottom w:w="0" w:type="dxa"/>
          <w:right w:w="0" w:type="dxa"/>
        </w:tblCellMar>
      </w:tblPr>
      <w:tblGrid>
        <w:gridCol w:w="75"/>
        <w:gridCol w:w="1745"/>
        <w:gridCol w:w="1070"/>
      </w:tblGrid>
      <w:tr>
        <w:trPr/>
        <w:tc>
          <w:tcPr>
            <w:tcW w:w="75" w:type="dxa"/>
            <w:tcBorders/>
            <w:vAlign w:val="center"/>
          </w:tcPr>
          <w:p>
            <w:pPr>
              <w:pStyle w:val="TableContents"/>
              <w:bidi w:val="0"/>
              <w:spacing w:before="0" w:after="283"/>
              <w:ind w:left="0" w:right="0" w:hanging="0"/>
              <w:jc w:val="left"/>
              <w:rPr/>
            </w:pPr>
            <w:r>
              <w:rPr/>
              <w:t> </w:t>
            </w:r>
          </w:p>
        </w:tc>
        <w:tc>
          <w:tcPr>
            <w:tcW w:w="1745" w:type="dxa"/>
            <w:tcBorders/>
            <w:vAlign w:val="center"/>
          </w:tcPr>
          <w:p>
            <w:pPr>
              <w:pStyle w:val="TableContents"/>
              <w:bidi w:val="0"/>
              <w:spacing w:before="0" w:after="283"/>
              <w:ind w:left="0" w:right="0" w:hanging="0"/>
              <w:jc w:val="both"/>
              <w:rPr/>
            </w:pPr>
            <w:r>
              <w:rPr/>
              <w:t>Failure to Deliver:</w:t>
            </w:r>
          </w:p>
        </w:tc>
        <w:tc>
          <w:tcPr>
            <w:tcW w:w="1070" w:type="dxa"/>
            <w:tcBorders/>
            <w:vAlign w:val="center"/>
          </w:tcPr>
          <w:p>
            <w:pPr>
              <w:pStyle w:val="TableContents"/>
              <w:bidi w:val="0"/>
              <w:spacing w:before="0" w:after="283"/>
              <w:jc w:val="both"/>
              <w:rPr/>
            </w:pPr>
            <w:r>
              <w:rPr/>
              <w:t>Applicable</w:t>
            </w:r>
          </w:p>
        </w:tc>
      </w:tr>
    </w:tbl>
    <w:tbl>
      <w:tblPr>
        <w:tblW w:w="4540" w:type="dxa"/>
        <w:jc w:val="left"/>
        <w:tblInd w:w="0" w:type="dxa"/>
        <w:tblLayout w:type="fixed"/>
        <w:tblCellMar>
          <w:top w:w="0" w:type="dxa"/>
          <w:left w:w="0" w:type="dxa"/>
          <w:bottom w:w="0" w:type="dxa"/>
          <w:right w:w="0" w:type="dxa"/>
        </w:tblCellMar>
      </w:tblPr>
      <w:tblGrid>
        <w:gridCol w:w="75"/>
        <w:gridCol w:w="1970"/>
        <w:gridCol w:w="2495"/>
      </w:tblGrid>
      <w:tr>
        <w:trPr/>
        <w:tc>
          <w:tcPr>
            <w:tcW w:w="75" w:type="dxa"/>
            <w:tcBorders/>
            <w:vAlign w:val="center"/>
          </w:tcPr>
          <w:p>
            <w:pPr>
              <w:pStyle w:val="TableContents"/>
              <w:bidi w:val="0"/>
              <w:spacing w:before="0" w:after="283"/>
              <w:ind w:left="0" w:right="0" w:hanging="0"/>
              <w:jc w:val="left"/>
              <w:rPr/>
            </w:pPr>
            <w:r>
              <w:rPr/>
              <w:t> </w:t>
            </w:r>
          </w:p>
        </w:tc>
        <w:tc>
          <w:tcPr>
            <w:tcW w:w="1970" w:type="dxa"/>
            <w:tcBorders/>
            <w:vAlign w:val="center"/>
          </w:tcPr>
          <w:p>
            <w:pPr>
              <w:pStyle w:val="TableContents"/>
              <w:bidi w:val="0"/>
              <w:spacing w:before="0" w:after="283"/>
              <w:ind w:left="0" w:right="0" w:hanging="0"/>
              <w:jc w:val="both"/>
              <w:rPr/>
            </w:pPr>
            <w:r>
              <w:rPr/>
              <w:t>Hedging Disruption:</w:t>
            </w:r>
          </w:p>
        </w:tc>
        <w:tc>
          <w:tcPr>
            <w:tcW w:w="2495" w:type="dxa"/>
            <w:tcBorders/>
            <w:vAlign w:val="center"/>
          </w:tcPr>
          <w:p>
            <w:pPr>
              <w:pStyle w:val="TableContents"/>
              <w:bidi w:val="0"/>
              <w:spacing w:before="0" w:after="283"/>
              <w:jc w:val="both"/>
              <w:rPr/>
            </w:pPr>
            <w:r>
              <w:rPr/>
              <w:t xml:space="preserve">Applicable; </w:t>
            </w:r>
            <w:r>
              <w:rPr>
                <w:i/>
              </w:rPr>
              <w:t>provided</w:t>
            </w:r>
            <w:r>
              <w:rPr/>
              <w:t xml:space="preserve"> that: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45" w:type="dxa"/>
            <w:tcBorders/>
            <w:vAlign w:val="center"/>
          </w:tcPr>
          <w:p>
            <w:pPr>
              <w:pStyle w:val="TableContents"/>
              <w:bidi w:val="0"/>
              <w:spacing w:before="0" w:after="283"/>
              <w:jc w:val="both"/>
              <w:rPr/>
            </w:pPr>
            <w:r>
              <w:rPr/>
              <w:t>Section 12.9(a)(v) of the Equity Definitions is hereby amended by inserting the following two phrases at the end of such Section:</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w:t>
            </w:r>
            <w:r>
              <w:rPr/>
              <w:t>For the avoidance of doubt, the term “equity price risk” shall be deemed to include, but shall not be limited to, stock price and volatility risk. And, for the further avoidance of doubt, any such transactions or assets referred to in phrases (A)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256"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884" w:type="dxa"/>
            <w:tcBorders/>
            <w:vAlign w:val="center"/>
          </w:tcPr>
          <w:p>
            <w:pPr>
              <w:pStyle w:val="TableContents"/>
              <w:bidi w:val="0"/>
              <w:spacing w:before="0" w:after="283"/>
              <w:jc w:val="both"/>
              <w:rPr/>
            </w:pPr>
            <w:r>
              <w:rPr/>
              <w:t>(B) above must be available on commercially reasonable pricing terms.”; and</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(ii)</w:t>
            </w:r>
          </w:p>
        </w:tc>
        <w:tc>
          <w:tcPr>
            <w:tcW w:w="9884" w:type="dxa"/>
            <w:tcBorders/>
            <w:vAlign w:val="center"/>
          </w:tcPr>
          <w:p>
            <w:pPr>
              <w:pStyle w:val="TableContents"/>
              <w:bidi w:val="0"/>
              <w:spacing w:before="0" w:after="283"/>
              <w:jc w:val="both"/>
              <w:rPr/>
            </w:pPr>
            <w:r>
              <w:rPr/>
              <w:t>Section 12.9(b)(iii) of the Equity Definitions is hereby amended by inserting in the third line thereof, after the words “to terminate the Transaction”, the words “or the portion of the Transaction affected by such Hedging Disruption”.</w:t>
            </w:r>
          </w:p>
        </w:tc>
      </w:tr>
    </w:tbl>
    <w:p>
      <w:pPr>
        <w:pStyle w:val="TextBody"/>
        <w:bidi w:val="0"/>
        <w:spacing w:before="0" w:after="0"/>
        <w:ind w:left="46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70"/>
        <w:gridCol w:w="8860"/>
      </w:tblGrid>
      <w:tr>
        <w:trPr/>
        <w:tc>
          <w:tcPr>
            <w:tcW w:w="75" w:type="dxa"/>
            <w:tcBorders/>
            <w:vAlign w:val="center"/>
          </w:tcPr>
          <w:p>
            <w:pPr>
              <w:pStyle w:val="TableContents"/>
              <w:bidi w:val="0"/>
              <w:spacing w:before="0" w:after="283"/>
              <w:ind w:left="0" w:right="0" w:hanging="0"/>
              <w:jc w:val="left"/>
              <w:rPr/>
            </w:pPr>
            <w:r>
              <w:rPr/>
              <w:t> </w:t>
            </w:r>
          </w:p>
        </w:tc>
        <w:tc>
          <w:tcPr>
            <w:tcW w:w="1270" w:type="dxa"/>
            <w:tcBorders/>
            <w:vAlign w:val="center"/>
          </w:tcPr>
          <w:p>
            <w:pPr>
              <w:pStyle w:val="TableContents"/>
              <w:bidi w:val="0"/>
              <w:spacing w:before="0" w:after="283"/>
              <w:ind w:left="0" w:right="0" w:hanging="0"/>
              <w:jc w:val="both"/>
              <w:rPr/>
            </w:pPr>
            <w:r>
              <w:rPr/>
              <w:t> </w:t>
            </w:r>
          </w:p>
        </w:tc>
        <w:tc>
          <w:tcPr>
            <w:tcW w:w="8860" w:type="dxa"/>
            <w:tcBorders/>
            <w:vAlign w:val="center"/>
          </w:tcPr>
          <w:p>
            <w:pPr>
              <w:pStyle w:val="TableContents"/>
              <w:bidi w:val="0"/>
              <w:spacing w:before="0" w:after="283"/>
              <w:jc w:val="both"/>
              <w:rPr/>
            </w:pPr>
            <w:r>
              <w:rPr/>
              <w:t>Notwithstanding anything to the contrary herein or in the Equity Definitions, in no event will a Hedging Disruption occur solely due to the deterioration of the creditworthiness of the Hedging Party relative to other comparable financial institutions.</w:t>
            </w:r>
          </w:p>
        </w:tc>
      </w:tr>
      <w:tr>
        <w:trPr/>
        <w:tc>
          <w:tcPr>
            <w:tcW w:w="75" w:type="dxa"/>
            <w:tcBorders/>
            <w:vAlign w:val="center"/>
          </w:tcPr>
          <w:p>
            <w:pPr>
              <w:pStyle w:val="TableContents"/>
              <w:bidi w:val="0"/>
              <w:spacing w:before="0" w:after="283"/>
              <w:ind w:left="0" w:right="0" w:hanging="0"/>
              <w:jc w:val="left"/>
              <w:rPr/>
            </w:pPr>
            <w:r>
              <w:rPr/>
              <w:t> </w:t>
            </w:r>
          </w:p>
        </w:tc>
        <w:tc>
          <w:tcPr>
            <w:tcW w:w="1270" w:type="dxa"/>
            <w:tcBorders/>
            <w:vAlign w:val="center"/>
          </w:tcPr>
          <w:p>
            <w:pPr>
              <w:pStyle w:val="TableContents"/>
              <w:bidi w:val="0"/>
              <w:spacing w:before="0" w:after="283"/>
              <w:ind w:left="0" w:right="0" w:hanging="0"/>
              <w:jc w:val="both"/>
              <w:rPr/>
            </w:pPr>
            <w:r>
              <w:rPr/>
              <w:t>Increased Cost of Hedging:</w:t>
            </w:r>
          </w:p>
        </w:tc>
        <w:tc>
          <w:tcPr>
            <w:tcW w:w="8860" w:type="dxa"/>
            <w:tcBorders/>
            <w:vAlign w:val="center"/>
          </w:tcPr>
          <w:p>
            <w:pPr>
              <w:pStyle w:val="TableContents"/>
              <w:bidi w:val="0"/>
              <w:spacing w:before="0" w:after="283"/>
              <w:jc w:val="both"/>
              <w:rPr/>
            </w:pPr>
            <w:r>
              <w:rPr/>
              <w:t>Applicable solely with respect to a “Change in Law” described in clause (Y) of Section 12.9(a)(ii) of the Equity Definitions as set forth in the last sentence opposite the caption “Change in Law” above.</w:t>
            </w:r>
          </w:p>
        </w:tc>
      </w:tr>
      <w:tr>
        <w:trPr/>
        <w:tc>
          <w:tcPr>
            <w:tcW w:w="75" w:type="dxa"/>
            <w:tcBorders/>
            <w:vAlign w:val="center"/>
          </w:tcPr>
          <w:p>
            <w:pPr>
              <w:pStyle w:val="TableContents"/>
              <w:bidi w:val="0"/>
              <w:spacing w:before="0" w:after="283"/>
              <w:ind w:left="0" w:right="0" w:hanging="0"/>
              <w:jc w:val="left"/>
              <w:rPr/>
            </w:pPr>
            <w:r>
              <w:rPr/>
              <w:t> </w:t>
            </w:r>
          </w:p>
        </w:tc>
        <w:tc>
          <w:tcPr>
            <w:tcW w:w="1270" w:type="dxa"/>
            <w:tcBorders/>
            <w:vAlign w:val="center"/>
          </w:tcPr>
          <w:p>
            <w:pPr>
              <w:pStyle w:val="TableContents"/>
              <w:bidi w:val="0"/>
              <w:spacing w:before="0" w:after="283"/>
              <w:ind w:left="0" w:right="0" w:hanging="0"/>
              <w:jc w:val="both"/>
              <w:rPr/>
            </w:pPr>
            <w:r>
              <w:rPr/>
              <w:t>Hedging Party:</w:t>
            </w:r>
          </w:p>
        </w:tc>
        <w:tc>
          <w:tcPr>
            <w:tcW w:w="8860" w:type="dxa"/>
            <w:tcBorders/>
            <w:vAlign w:val="center"/>
          </w:tcPr>
          <w:p>
            <w:pPr>
              <w:pStyle w:val="TableContents"/>
              <w:bidi w:val="0"/>
              <w:spacing w:before="0" w:after="283"/>
              <w:jc w:val="both"/>
              <w:rPr/>
            </w:pPr>
            <w:r>
              <w:rPr/>
              <w:t xml:space="preserve">For all applicable Additional Disruption Events, Dealer; </w:t>
            </w:r>
            <w:r>
              <w:rPr>
                <w:i/>
              </w:rPr>
              <w:t>provided</w:t>
            </w:r>
            <w:r>
              <w:rPr/>
              <w:t xml:space="preserve"> that when making any determination, adjustment or calculation as “Hedging Party” (but not, for the avoidance of doubt, the making of any election it is entitled to make as “Hedging Party”), Dealer shall be bound by the same obligations relating to required acts of the Calculation Agent as set forth in Section 1.40 of the Equity Definitions and this Confirmation as if the Hedging Party were the Calculation Agent.  Following any determination, adjustment or calculation by the Hedging Party hereunder, within five Business Days following a written request by Counterparty therefor, the Hedging Party shall provide to Counterparty by e-mail to the e-mail address provided by Counterparty a written explanation and report (in a commonly used file format for the storage and manipulation of financial data) describing in reasonable detail such determination, adjustment or calculation (including, as applicable, any quotations, market data, information from internal sources used in making such determination, adjustment or calculation, descriptions of the methodology and any assumptions and basis used in making such determination, adjustment or calculation), it being understood that the Hedging Party shall not be obligated to disclose any proprietary or confidential models or proprietary or confidential information used by it for such determination, adjustment or calculation. All determinations, adjustments and calculations by Dealer acting in its capacity as the Hedging Party shall be made assuming that Dealer maintains a commercially reasonable hedge position.</w:t>
            </w:r>
          </w:p>
        </w:tc>
      </w:tr>
      <w:tr>
        <w:trPr/>
        <w:tc>
          <w:tcPr>
            <w:tcW w:w="75" w:type="dxa"/>
            <w:tcBorders/>
            <w:vAlign w:val="center"/>
          </w:tcPr>
          <w:p>
            <w:pPr>
              <w:pStyle w:val="TableContents"/>
              <w:bidi w:val="0"/>
              <w:spacing w:before="0" w:after="283"/>
              <w:ind w:left="0" w:right="0" w:hanging="0"/>
              <w:jc w:val="left"/>
              <w:rPr/>
            </w:pPr>
            <w:r>
              <w:rPr/>
              <w:t> </w:t>
            </w:r>
          </w:p>
        </w:tc>
        <w:tc>
          <w:tcPr>
            <w:tcW w:w="1270" w:type="dxa"/>
            <w:tcBorders/>
            <w:vAlign w:val="center"/>
          </w:tcPr>
          <w:p>
            <w:pPr>
              <w:pStyle w:val="TableContents"/>
              <w:bidi w:val="0"/>
              <w:spacing w:before="0" w:after="283"/>
              <w:ind w:left="0" w:right="0" w:hanging="0"/>
              <w:jc w:val="both"/>
              <w:rPr/>
            </w:pPr>
            <w:r>
              <w:rPr/>
              <w:t>Determining Party:</w:t>
            </w:r>
          </w:p>
        </w:tc>
        <w:tc>
          <w:tcPr>
            <w:tcW w:w="8860" w:type="dxa"/>
            <w:tcBorders/>
            <w:vAlign w:val="center"/>
          </w:tcPr>
          <w:p>
            <w:pPr>
              <w:pStyle w:val="TableContents"/>
              <w:bidi w:val="0"/>
              <w:spacing w:before="0" w:after="283"/>
              <w:jc w:val="both"/>
              <w:rPr/>
            </w:pPr>
            <w:r>
              <w:rPr/>
              <w:t xml:space="preserve">For all applicable Extraordinary Events, Dealer; </w:t>
            </w:r>
            <w:r>
              <w:rPr>
                <w:i/>
              </w:rPr>
              <w:t xml:space="preserve">provided </w:t>
            </w:r>
            <w:r>
              <w:rPr/>
              <w:t>that when making any determination, adjustment or calculation as “Determining Party” (but not, for the avoidance of doubt, the making of any election it is entitled to make as “Determining Party”), Dealer shall be bound by</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the same obligations relating to required acts of the Calculation Agent as set forth in Section 1.40 of the Equity Definitions and this Confirmation as if the Determining Party were the Calculation Agent. Following any determination, adjustment or calculation by the Determining Party hereunder, within five Business Days following a written request by Counterparty therefor, the Determining Party shall provide to Counterparty by e-mail to the e-mail address provided by Counterparty a written explanation and report (in a commonly used file format for the storage and manipulation of financial data) describing in reasonable detail such determination, adjustment or calculation (including, as applicable, any quotations, market data, information from internal sources used in making such determination, adjustment or calculation, descriptions of the methodology and any assumptions and basis used in making such determination, adjustment or calculation), it being understood that the Determining Party shall not be obligated to disclose any proprietary or confidential models or proprietary or confidential information used by it for such determination, adjustment or calculation. All determinations, adjustments and calculations by Dealer acting in its capacity as the Determining Party shall be made assuming that Dealer maintains a commercially reasonable hedge position.</w:t>
            </w:r>
          </w:p>
        </w:tc>
      </w:tr>
    </w:tbl>
    <w:p>
      <w:pPr>
        <w:pStyle w:val="TextBody"/>
        <w:bidi w:val="0"/>
        <w:spacing w:before="0" w:after="0"/>
        <w:ind w:left="4680" w:right="0" w:hanging="324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6365"/>
        <w:gridCol w:w="1070"/>
      </w:tblGrid>
      <w:tr>
        <w:trPr/>
        <w:tc>
          <w:tcPr>
            <w:tcW w:w="75" w:type="dxa"/>
            <w:tcBorders/>
            <w:vAlign w:val="center"/>
          </w:tcPr>
          <w:p>
            <w:pPr>
              <w:pStyle w:val="TableContents"/>
              <w:bidi w:val="0"/>
              <w:spacing w:before="0" w:after="283"/>
              <w:ind w:left="0" w:right="0" w:hanging="0"/>
              <w:jc w:val="left"/>
              <w:rPr/>
            </w:pPr>
            <w:r>
              <w:rPr/>
              <w:t> </w:t>
            </w:r>
          </w:p>
        </w:tc>
        <w:tc>
          <w:tcPr>
            <w:tcW w:w="6365" w:type="dxa"/>
            <w:tcBorders/>
            <w:vAlign w:val="center"/>
          </w:tcPr>
          <w:p>
            <w:pPr>
              <w:pStyle w:val="TableContents"/>
              <w:bidi w:val="0"/>
              <w:spacing w:before="0" w:after="283"/>
              <w:ind w:left="0" w:right="0" w:hanging="0"/>
              <w:jc w:val="both"/>
              <w:rPr/>
            </w:pPr>
            <w:r>
              <w:rPr/>
              <w:t>Non-Reliance:</w:t>
            </w:r>
          </w:p>
        </w:tc>
        <w:tc>
          <w:tcPr>
            <w:tcW w:w="1070" w:type="dxa"/>
            <w:tcBorders/>
            <w:vAlign w:val="center"/>
          </w:tcPr>
          <w:p>
            <w:pPr>
              <w:pStyle w:val="TableContents"/>
              <w:bidi w:val="0"/>
              <w:spacing w:before="0" w:after="283"/>
              <w:jc w:val="both"/>
              <w:rPr/>
            </w:pPr>
            <w:r>
              <w:rPr/>
              <w:t>Applicable</w:t>
            </w:r>
          </w:p>
        </w:tc>
      </w:tr>
      <w:tr>
        <w:trPr/>
        <w:tc>
          <w:tcPr>
            <w:tcW w:w="75" w:type="dxa"/>
            <w:tcBorders/>
            <w:vAlign w:val="center"/>
          </w:tcPr>
          <w:p>
            <w:pPr>
              <w:pStyle w:val="TableContents"/>
              <w:bidi w:val="0"/>
              <w:spacing w:before="0" w:after="283"/>
              <w:ind w:left="0" w:right="0" w:hanging="0"/>
              <w:jc w:val="left"/>
              <w:rPr/>
            </w:pPr>
            <w:r>
              <w:rPr/>
              <w:t> </w:t>
            </w:r>
          </w:p>
        </w:tc>
        <w:tc>
          <w:tcPr>
            <w:tcW w:w="6365" w:type="dxa"/>
            <w:tcBorders/>
            <w:vAlign w:val="center"/>
          </w:tcPr>
          <w:p>
            <w:pPr>
              <w:pStyle w:val="TableContents"/>
              <w:bidi w:val="0"/>
              <w:spacing w:before="0" w:after="283"/>
              <w:ind w:left="0" w:right="0" w:hanging="0"/>
              <w:jc w:val="both"/>
              <w:rPr/>
            </w:pPr>
            <w:r>
              <w:rPr/>
              <w:t>Agreements and Acknowledgments Regarding Hedging Activities:</w:t>
            </w:r>
          </w:p>
        </w:tc>
        <w:tc>
          <w:tcPr>
            <w:tcW w:w="1070" w:type="dxa"/>
            <w:tcBorders/>
            <w:vAlign w:val="center"/>
          </w:tcPr>
          <w:p>
            <w:pPr>
              <w:pStyle w:val="TableContents"/>
              <w:bidi w:val="0"/>
              <w:spacing w:before="0" w:after="283"/>
              <w:jc w:val="both"/>
              <w:rPr/>
            </w:pPr>
            <w:r>
              <w:rPr/>
              <w:t>Applicable</w:t>
            </w:r>
          </w:p>
        </w:tc>
      </w:tr>
      <w:tr>
        <w:trPr/>
        <w:tc>
          <w:tcPr>
            <w:tcW w:w="75" w:type="dxa"/>
            <w:tcBorders/>
            <w:vAlign w:val="center"/>
          </w:tcPr>
          <w:p>
            <w:pPr>
              <w:pStyle w:val="TableContents"/>
              <w:bidi w:val="0"/>
              <w:spacing w:before="0" w:after="283"/>
              <w:ind w:left="0" w:right="0" w:hanging="0"/>
              <w:jc w:val="left"/>
              <w:rPr/>
            </w:pPr>
            <w:r>
              <w:rPr/>
              <w:t> </w:t>
            </w:r>
          </w:p>
        </w:tc>
        <w:tc>
          <w:tcPr>
            <w:tcW w:w="6365" w:type="dxa"/>
            <w:tcBorders/>
            <w:vAlign w:val="center"/>
          </w:tcPr>
          <w:p>
            <w:pPr>
              <w:pStyle w:val="TableContents"/>
              <w:bidi w:val="0"/>
              <w:spacing w:before="0" w:after="283"/>
              <w:ind w:left="0" w:right="0" w:hanging="0"/>
              <w:jc w:val="both"/>
              <w:rPr/>
            </w:pPr>
            <w:r>
              <w:rPr/>
              <w:t>Additional Acknowledgments:</w:t>
            </w:r>
          </w:p>
        </w:tc>
        <w:tc>
          <w:tcPr>
            <w:tcW w:w="1070" w:type="dxa"/>
            <w:tcBorders/>
            <w:vAlign w:val="center"/>
          </w:tcPr>
          <w:p>
            <w:pPr>
              <w:pStyle w:val="TableContents"/>
              <w:bidi w:val="0"/>
              <w:spacing w:before="0" w:after="283"/>
              <w:jc w:val="both"/>
              <w:rPr/>
            </w:pPr>
            <w:r>
              <w:rPr/>
              <w:t>Applicable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8"/>
        <w:gridCol w:w="1237"/>
        <w:gridCol w:w="8810"/>
      </w:tblGrid>
      <w:tr>
        <w:trPr/>
        <w:tc>
          <w:tcPr>
            <w:tcW w:w="158" w:type="dxa"/>
            <w:tcBorders/>
            <w:vAlign w:val="center"/>
          </w:tcPr>
          <w:p>
            <w:pPr>
              <w:pStyle w:val="TableContents"/>
              <w:bidi w:val="0"/>
              <w:spacing w:before="0" w:after="283"/>
              <w:jc w:val="left"/>
              <w:rPr/>
            </w:pPr>
            <w:r>
              <w:rPr/>
              <w:t>4.</w:t>
            </w:r>
          </w:p>
        </w:tc>
        <w:tc>
          <w:tcPr>
            <w:tcW w:w="1237" w:type="dxa"/>
            <w:tcBorders/>
            <w:vAlign w:val="center"/>
          </w:tcPr>
          <w:p>
            <w:pPr>
              <w:pStyle w:val="TableContents"/>
              <w:bidi w:val="0"/>
              <w:spacing w:before="0" w:after="283"/>
              <w:jc w:val="left"/>
              <w:rPr>
                <w:b/>
                <w:u w:val="single"/>
              </w:rPr>
            </w:pPr>
            <w:r>
              <w:rPr>
                <w:b/>
                <w:u w:val="single"/>
              </w:rPr>
              <w:t xml:space="preserve">Calculation Agent. </w:t>
              <w:tab/>
            </w:r>
          </w:p>
        </w:tc>
        <w:tc>
          <w:tcPr>
            <w:tcW w:w="8810" w:type="dxa"/>
            <w:tcBorders/>
            <w:vAlign w:val="center"/>
          </w:tcPr>
          <w:p>
            <w:pPr>
              <w:pStyle w:val="TableContents"/>
              <w:bidi w:val="0"/>
              <w:spacing w:before="0" w:after="283"/>
              <w:jc w:val="both"/>
              <w:rPr/>
            </w:pPr>
            <w:r>
              <w:rPr/>
              <w:t xml:space="preserve">Dealer; </w:t>
            </w:r>
            <w:r>
              <w:rPr>
                <w:i/>
              </w:rPr>
              <w:t xml:space="preserve">provided </w:t>
            </w:r>
            <w:r>
              <w:rPr/>
              <w:t>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(or, if earlier, the date on which such Event of Default is no longer ongoing), as the Calculation Agent. Regardless of whether or not a standard for the actions of the Calculation Agent is explicitly stated in any provision hereof, the standards of Section 1.40 of the Equity Definitions, as modified by adding the words, “acts or” immediately before the words, “is required to act” in line 2 thereof, shall apply to the Calculation Agent at all times and in respect of all circumstances hereunder.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10070" w:type="dxa"/>
            <w:tcBorders/>
            <w:vAlign w:val="center"/>
          </w:tcPr>
          <w:p>
            <w:pPr>
              <w:pStyle w:val="TableContents"/>
              <w:bidi w:val="0"/>
              <w:spacing w:before="0" w:after="283"/>
              <w:jc w:val="both"/>
              <w:rPr/>
            </w:pPr>
            <w:r>
              <w:rPr/>
              <w:t xml:space="preserve">any determination, adjustment or calculation by the Calculation Agent hereunder, within five Business Days following a written request by Counterparty therefor, the Calculation Agent shall provide to Counterparty, by e-mail to the e-mail address provided by Counterparty, a written explanation and report (in a commonly used file format for the storage and manipulation of financial data) displaying in commercially reasonable detail the basis for such determination, adjustment or calculation (including any quotations, market data or information from internal or external sources, and any assumptions, used in making such determination, adjustment or calculation), it being understood that the Calculation Agent shall not be obligated to disclose any proprietary or confidential models or proprietary or confidential information used by it for such determination, adjustment or calculation. </w:t>
            </w:r>
          </w:p>
        </w:tc>
      </w:tr>
    </w:tbl>
    <w:p>
      <w:pPr>
        <w:pStyle w:val="TextBody"/>
        <w:bidi w:val="0"/>
        <w:spacing w:before="0" w:after="0"/>
        <w:ind w:left="0" w:right="0" w:hanging="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0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1700" w:type="dxa"/>
            <w:tcBorders/>
            <w:vAlign w:val="center"/>
          </w:tcPr>
          <w:p>
            <w:pPr>
              <w:pStyle w:val="TableContents"/>
              <w:bidi w:val="0"/>
              <w:spacing w:before="0" w:after="283"/>
              <w:jc w:val="left"/>
              <w:rPr>
                <w:b/>
              </w:rPr>
            </w:pPr>
            <w:r>
              <w:rPr>
                <w:b/>
                <w:u w:val="single"/>
              </w:rPr>
              <w:t>Account Details</w:t>
            </w: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692"/>
        <w:gridCol w:w="9418"/>
      </w:tblGrid>
      <w:tr>
        <w:trPr/>
        <w:tc>
          <w:tcPr>
            <w:tcW w:w="9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pPr>
            <w:r>
              <w:rPr/>
              <w:t>(a)</w:t>
            </w:r>
          </w:p>
        </w:tc>
        <w:tc>
          <w:tcPr>
            <w:tcW w:w="9418" w:type="dxa"/>
            <w:tcBorders/>
            <w:vAlign w:val="center"/>
          </w:tcPr>
          <w:p>
            <w:pPr>
              <w:pStyle w:val="TableContents"/>
              <w:bidi w:val="0"/>
              <w:spacing w:before="0" w:after="283"/>
              <w:jc w:val="both"/>
              <w:rPr/>
            </w:pPr>
            <w:r>
              <w:rPr/>
              <w:t>Account for payments to Counterparty: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for delivery of Shares to Counterparty: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w:t>
      </w:r>
    </w:p>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857"/>
        <w:gridCol w:w="9236"/>
      </w:tblGrid>
      <w:tr>
        <w:trPr/>
        <w:tc>
          <w:tcPr>
            <w:tcW w:w="11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pPr>
            <w:r>
              <w:rPr/>
              <w:t>(b)</w:t>
            </w:r>
          </w:p>
        </w:tc>
        <w:tc>
          <w:tcPr>
            <w:tcW w:w="9236" w:type="dxa"/>
            <w:tcBorders/>
            <w:vAlign w:val="center"/>
          </w:tcPr>
          <w:p>
            <w:pPr>
              <w:pStyle w:val="TableContents"/>
              <w:bidi w:val="0"/>
              <w:spacing w:before="0" w:after="283"/>
              <w:jc w:val="both"/>
              <w:rPr/>
            </w:pPr>
            <w:r>
              <w:rPr/>
              <w:t>Account for payments to Dealer: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for delivery of Shares from Dealer: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w:t>
      </w:r>
    </w:p>
    <w:p>
      <w:pPr>
        <w:pStyle w:val="TextBody"/>
        <w:bidi w:val="0"/>
        <w:spacing w:before="0" w:after="0"/>
        <w:ind w:left="1440" w:right="0" w:hanging="0"/>
        <w:jc w:val="left"/>
        <w:rPr>
          <w:caps w:val="false"/>
          <w:smallCaps w:val="false"/>
        </w:rPr>
      </w:pPr>
      <w:r>
        <w:rPr>
          <w:caps w:val="false"/>
          <w:smallCaps w:val="false"/>
        </w:rPr>
        <w:t> </w:t>
      </w:r>
    </w:p>
    <w:tbl>
      <w:tblPr>
        <w:tblW w:w="1023" w:type="dxa"/>
        <w:jc w:val="left"/>
        <w:tblInd w:w="0" w:type="dxa"/>
        <w:tblLayout w:type="fixed"/>
        <w:tblCellMar>
          <w:top w:w="0" w:type="dxa"/>
          <w:left w:w="0" w:type="dxa"/>
          <w:bottom w:w="0" w:type="dxa"/>
          <w:right w:w="0" w:type="dxa"/>
        </w:tblCellMar>
      </w:tblPr>
      <w:tblGrid>
        <w:gridCol w:w="38"/>
        <w:gridCol w:w="200"/>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785" w:type="dxa"/>
            <w:tcBorders/>
            <w:vAlign w:val="center"/>
          </w:tcPr>
          <w:p>
            <w:pPr>
              <w:pStyle w:val="TableContents"/>
              <w:bidi w:val="0"/>
              <w:spacing w:before="0" w:after="283"/>
              <w:jc w:val="left"/>
              <w:rPr>
                <w:b/>
              </w:rPr>
            </w:pPr>
            <w:r>
              <w:rPr>
                <w:b/>
                <w:u w:val="single"/>
              </w:rPr>
              <w:t>Offices</w:t>
            </w: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both"/>
              <w:rPr/>
            </w:pPr>
            <w:r>
              <w:rPr/>
              <w:t>The Office of Counterparty for the Transaction is: Inapplicable, Counterparty is not a Multibranch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283"/>
              <w:jc w:val="both"/>
              <w:rPr/>
            </w:pPr>
            <w:r>
              <w:rPr/>
              <w:t>The Office of Dealer for the Transaction is: [____________][Inapplicable; Dealer is not a Multibranch Party]</w:t>
            </w:r>
          </w:p>
        </w:tc>
      </w:tr>
    </w:tbl>
    <w:p>
      <w:pPr>
        <w:pStyle w:val="TextBody"/>
        <w:bidi w:val="0"/>
        <w:spacing w:before="0" w:after="0"/>
        <w:jc w:val="left"/>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20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830" w:type="dxa"/>
            <w:tcBorders/>
            <w:vAlign w:val="center"/>
          </w:tcPr>
          <w:p>
            <w:pPr>
              <w:pStyle w:val="TableContents"/>
              <w:bidi w:val="0"/>
              <w:spacing w:before="0" w:after="283"/>
              <w:jc w:val="left"/>
              <w:rPr>
                <w:b/>
              </w:rPr>
            </w:pPr>
            <w:r>
              <w:rPr>
                <w:b/>
                <w:u w:val="single"/>
              </w:rPr>
              <w:t>Notices</w:t>
            </w: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497"/>
        <w:gridCol w:w="9640"/>
      </w:tblGrid>
      <w:tr>
        <w:trPr/>
        <w:tc>
          <w:tcPr>
            <w:tcW w:w="6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pPr>
            <w:r>
              <w:rPr/>
              <w:t>(a)</w:t>
            </w:r>
          </w:p>
        </w:tc>
        <w:tc>
          <w:tcPr>
            <w:tcW w:w="9640" w:type="dxa"/>
            <w:tcBorders/>
            <w:vAlign w:val="center"/>
          </w:tcPr>
          <w:p>
            <w:pPr>
              <w:pStyle w:val="TableContents"/>
              <w:bidi w:val="0"/>
              <w:spacing w:before="0" w:after="283"/>
              <w:jc w:val="both"/>
              <w:rPr/>
            </w:pPr>
            <w:r>
              <w:rPr/>
              <w:t>Address for notices or communications to Counterparty:</w:t>
            </w:r>
          </w:p>
        </w:tc>
      </w:tr>
    </w:tbl>
    <w:p>
      <w:pPr>
        <w:pStyle w:val="TextBody"/>
        <w:bidi w:val="0"/>
        <w:spacing w:before="0" w:after="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75"/>
        <w:gridCol w:w="5180"/>
      </w:tblGrid>
      <w:tr>
        <w:trPr/>
        <w:tc>
          <w:tcPr>
            <w:tcW w:w="7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ANI Pharmaceuticals, Inc.</w:t>
            </w:r>
          </w:p>
        </w:tc>
      </w:tr>
      <w:tr>
        <w:trPr/>
        <w:tc>
          <w:tcPr>
            <w:tcW w:w="7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210 Main Street West</w:t>
            </w:r>
          </w:p>
        </w:tc>
      </w:tr>
      <w:tr>
        <w:trPr/>
        <w:tc>
          <w:tcPr>
            <w:tcW w:w="7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Baudette, Minnesota 56623</w:t>
            </w:r>
          </w:p>
        </w:tc>
      </w:tr>
      <w:tr>
        <w:trPr/>
        <w:tc>
          <w:tcPr>
            <w:tcW w:w="7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Attention:           Legal Department – General Counsel</w:t>
            </w:r>
          </w:p>
        </w:tc>
      </w:tr>
      <w:tr>
        <w:trPr/>
        <w:tc>
          <w:tcPr>
            <w:tcW w:w="7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Telephone:         218-634-3500</w:t>
            </w:r>
          </w:p>
        </w:tc>
      </w:tr>
      <w:tr>
        <w:trPr/>
        <w:tc>
          <w:tcPr>
            <w:tcW w:w="7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Email:                legaldept@anipharmaceuticals.com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87"/>
        <w:gridCol w:w="9542"/>
      </w:tblGrid>
      <w:tr>
        <w:trPr/>
        <w:tc>
          <w:tcPr>
            <w:tcW w:w="7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pPr>
            <w:r>
              <w:rPr/>
              <w:t>(b)</w:t>
            </w:r>
          </w:p>
        </w:tc>
        <w:tc>
          <w:tcPr>
            <w:tcW w:w="9542" w:type="dxa"/>
            <w:tcBorders/>
            <w:vAlign w:val="center"/>
          </w:tcPr>
          <w:p>
            <w:pPr>
              <w:pStyle w:val="TableContents"/>
              <w:bidi w:val="0"/>
              <w:spacing w:before="0" w:after="283"/>
              <w:jc w:val="both"/>
              <w:rPr/>
            </w:pPr>
            <w:r>
              <w:rPr/>
              <w:t>Address for notices or communications to Dealer:</w:t>
            </w:r>
          </w:p>
        </w:tc>
      </w:tr>
    </w:tbl>
    <w:p>
      <w:pPr>
        <w:pStyle w:val="TextBody"/>
        <w:bidi w:val="0"/>
        <w:spacing w:before="0" w:after="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75"/>
        <w:gridCol w:w="1085"/>
        <w:gridCol w:w="1835"/>
      </w:tblGrid>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To:</w:t>
            </w:r>
          </w:p>
        </w:tc>
        <w:tc>
          <w:tcPr>
            <w:tcW w:w="1835" w:type="dxa"/>
            <w:tcBorders/>
            <w:vAlign w:val="center"/>
          </w:tcPr>
          <w:p>
            <w:pPr>
              <w:pStyle w:val="TableContents"/>
              <w:bidi w:val="0"/>
              <w:spacing w:before="0" w:after="283"/>
              <w:jc w:val="left"/>
              <w:rPr/>
            </w:pPr>
            <w:r>
              <w:rPr/>
              <w:t>[____________]</w:t>
            </w:r>
            <w:r>
              <w:rPr>
                <w:position w:val="8"/>
                <w:sz w:val="19"/>
              </w:rPr>
              <w:t>39</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Attention:</w:t>
            </w:r>
          </w:p>
        </w:tc>
        <w:tc>
          <w:tcPr>
            <w:tcW w:w="1835" w:type="dxa"/>
            <w:tcBorders/>
            <w:vAlign w:val="center"/>
          </w:tcPr>
          <w:p>
            <w:pPr>
              <w:pStyle w:val="TableContents"/>
              <w:bidi w:val="0"/>
              <w:spacing w:before="0" w:after="283"/>
              <w:jc w:val="left"/>
              <w:rPr/>
            </w:pPr>
            <w:r>
              <w:rPr/>
              <w:t>[____________]</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Telephone:</w:t>
            </w:r>
          </w:p>
        </w:tc>
        <w:tc>
          <w:tcPr>
            <w:tcW w:w="1835" w:type="dxa"/>
            <w:tcBorders/>
            <w:vAlign w:val="center"/>
          </w:tcPr>
          <w:p>
            <w:pPr>
              <w:pStyle w:val="TableContents"/>
              <w:bidi w:val="0"/>
              <w:spacing w:before="0" w:after="283"/>
              <w:jc w:val="left"/>
              <w:rPr/>
            </w:pPr>
            <w:r>
              <w:rPr/>
              <w:t>[____________]</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Email:    </w:t>
            </w:r>
          </w:p>
        </w:tc>
        <w:tc>
          <w:tcPr>
            <w:tcW w:w="1835" w:type="dxa"/>
            <w:tcBorders/>
            <w:vAlign w:val="center"/>
          </w:tcPr>
          <w:p>
            <w:pPr>
              <w:pStyle w:val="TableContents"/>
              <w:bidi w:val="0"/>
              <w:spacing w:before="0" w:after="283"/>
              <w:jc w:val="left"/>
              <w:rPr/>
            </w:pPr>
            <w:r>
              <w:rPr/>
              <w:t>[____________]</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44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75"/>
        <w:gridCol w:w="1085"/>
        <w:gridCol w:w="1700"/>
      </w:tblGrid>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To:</w:t>
            </w:r>
          </w:p>
        </w:tc>
        <w:tc>
          <w:tcPr>
            <w:tcW w:w="1700" w:type="dxa"/>
            <w:tcBorders/>
            <w:vAlign w:val="center"/>
          </w:tcPr>
          <w:p>
            <w:pPr>
              <w:pStyle w:val="TableContents"/>
              <w:bidi w:val="0"/>
              <w:spacing w:before="0" w:after="283"/>
              <w:jc w:val="left"/>
              <w:rPr/>
            </w:pPr>
            <w:r>
              <w:rPr/>
              <w:t>[____________]</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Attention:</w:t>
            </w:r>
          </w:p>
        </w:tc>
        <w:tc>
          <w:tcPr>
            <w:tcW w:w="1700" w:type="dxa"/>
            <w:tcBorders/>
            <w:vAlign w:val="center"/>
          </w:tcPr>
          <w:p>
            <w:pPr>
              <w:pStyle w:val="TableContents"/>
              <w:bidi w:val="0"/>
              <w:spacing w:before="0" w:after="283"/>
              <w:jc w:val="left"/>
              <w:rPr/>
            </w:pPr>
            <w:r>
              <w:rPr/>
              <w:t>[____________]</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Telephone:</w:t>
            </w:r>
          </w:p>
        </w:tc>
        <w:tc>
          <w:tcPr>
            <w:tcW w:w="1700" w:type="dxa"/>
            <w:tcBorders/>
            <w:vAlign w:val="center"/>
          </w:tcPr>
          <w:p>
            <w:pPr>
              <w:pStyle w:val="TableContents"/>
              <w:bidi w:val="0"/>
              <w:spacing w:before="0" w:after="283"/>
              <w:jc w:val="left"/>
              <w:rPr/>
            </w:pPr>
            <w:r>
              <w:rPr/>
              <w:t>[____________]</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Email:    </w:t>
            </w:r>
          </w:p>
        </w:tc>
        <w:tc>
          <w:tcPr>
            <w:tcW w:w="1700" w:type="dxa"/>
            <w:tcBorders/>
            <w:vAlign w:val="center"/>
          </w:tcPr>
          <w:p>
            <w:pPr>
              <w:pStyle w:val="TableContents"/>
              <w:bidi w:val="0"/>
              <w:spacing w:before="0" w:after="283"/>
              <w:jc w:val="left"/>
              <w:rPr/>
            </w:pPr>
            <w:r>
              <w:rPr/>
              <w:t>[____________]]</w:t>
            </w:r>
          </w:p>
        </w:tc>
      </w:tr>
    </w:tbl>
    <w:p>
      <w:pPr>
        <w:pStyle w:val="TextBody"/>
        <w:bidi w:val="0"/>
        <w:spacing w:before="0" w:after="0"/>
        <w:ind w:left="0" w:right="0" w:hanging="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20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5120" w:type="dxa"/>
            <w:tcBorders/>
            <w:vAlign w:val="center"/>
          </w:tcPr>
          <w:p>
            <w:pPr>
              <w:pStyle w:val="TableContents"/>
              <w:bidi w:val="0"/>
              <w:spacing w:before="0" w:after="283"/>
              <w:jc w:val="left"/>
              <w:rPr>
                <w:b/>
              </w:rPr>
            </w:pPr>
            <w:r>
              <w:rPr>
                <w:b/>
                <w:u w:val="single"/>
              </w:rPr>
              <w:t>Representations and Warranties of Counterparty</w:t>
            </w: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representations and warranties of Counterparty set forth in Section [   ] of the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dated as of August [ ], 2024, between Counterparty and J.P. Morgan Securities LLC, as representative of the Initial Purchasers party thereto (the “</w:t>
      </w:r>
      <w:r>
        <w:rPr>
          <w:rFonts w:ascii="Times New Roman;Times;Serif" w:hAnsi="Times New Roman;Times;Serif"/>
          <w:b/>
          <w:i w:val="false"/>
          <w:caps w:val="false"/>
          <w:smallCaps w:val="false"/>
          <w:sz w:val="20"/>
        </w:rPr>
        <w:t>Initial Purchasers</w:t>
      </w:r>
      <w:r>
        <w:rPr>
          <w:rFonts w:ascii="Times New Roman;Times;Serif" w:hAnsi="Times New Roman;Times;Serif"/>
          <w:b w:val="false"/>
          <w:i w:val="false"/>
          <w:caps w:val="false"/>
          <w:smallCaps w:val="false"/>
          <w:sz w:val="20"/>
        </w:rPr>
        <w:t>”), are true and correct and are hereby deemed to be repeated to Dealer as if set forth herein. Counterparty hereby further represents and warrants to Dealer on the date hereof and on and as of the Premium Payment Date that:</w:t>
      </w:r>
    </w:p>
    <w:p>
      <w:pPr>
        <w:pStyle w:val="TextBody"/>
        <w:bidi w:val="0"/>
        <w:spacing w:before="0" w:after="0"/>
        <w:ind w:left="70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both"/>
              <w:rPr/>
            </w:pPr>
            <w:r>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other than the Credit Agreement (as defined below) filed as an exhibit to Counterparty’s most recently filed Annual Report on Form 10-K, as updated by subsequent filings, or constitute a default under, or result in the creation of any lien under, any such agreement or instrument.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(c)</w:t>
            </w:r>
          </w:p>
        </w:tc>
        <w:tc>
          <w:tcPr>
            <w:tcW w:w="9957" w:type="dxa"/>
            <w:tcBorders/>
            <w:vAlign w:val="center"/>
          </w:tcPr>
          <w:p>
            <w:pPr>
              <w:pStyle w:val="TableContents"/>
              <w:bidi w:val="0"/>
              <w:spacing w:before="0" w:after="283"/>
              <w:jc w:val="both"/>
              <w:rPr/>
            </w:pPr>
            <w:r>
              <w:rPr/>
              <w:t xml:space="preserve">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 </w:t>
            </w:r>
            <w:r>
              <w:rPr>
                <w:i/>
              </w:rPr>
              <w:t xml:space="preserve">provided </w:t>
            </w:r>
            <w:r>
              <w:rPr/>
              <w:t>that Counterparty makes no representation or warranty regarding any such requirement that is applicable generally to the ownership of equity securities by Dealer or any of its affiliates solely as a result of it or any of such affiliates being financial institutions and/or broker-dealers.</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39</w:t>
      </w:r>
      <w:r>
        <w:rPr>
          <w:rFonts w:ascii="Times New Roman;Times;Serif" w:hAnsi="Times New Roman;Times;Serif"/>
          <w:b w:val="false"/>
          <w:i w:val="false"/>
          <w:caps w:val="false"/>
          <w:smallCaps w:val="false"/>
          <w:sz w:val="20"/>
        </w:rPr>
        <w:t xml:space="preserve"> Insert Dealer’s notice contact information.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both"/>
              <w:rPr/>
            </w:pPr>
            <w:r>
              <w:rPr/>
              <w:t>Counterparty is not and, after consummation of the transactions contemplated hereby, will not be required to register as an “investment company” as such term is defined in the Investment Company Act of 1940, as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(e)</w:t>
            </w:r>
          </w:p>
        </w:tc>
        <w:tc>
          <w:tcPr>
            <w:tcW w:w="9940" w:type="dxa"/>
            <w:tcBorders/>
            <w:vAlign w:val="center"/>
          </w:tcPr>
          <w:p>
            <w:pPr>
              <w:pStyle w:val="TableContents"/>
              <w:bidi w:val="0"/>
              <w:spacing w:before="0" w:after="283"/>
              <w:jc w:val="both"/>
              <w:rPr/>
            </w:pPr>
            <w:r>
              <w:rPr/>
              <w:t>Counterparty is an “eligible contract participant” (as such term is defined in Section 1a(18) of the Commodity Exchange Act, as amended, other than a person that is an eligible contract participant under Section 1a(18)(C) of the Commodity Exchange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(f)</w:t>
            </w:r>
          </w:p>
        </w:tc>
        <w:tc>
          <w:tcPr>
            <w:tcW w:w="9942" w:type="dxa"/>
            <w:tcBorders/>
            <w:vAlign w:val="center"/>
          </w:tcPr>
          <w:p>
            <w:pPr>
              <w:pStyle w:val="TableContents"/>
              <w:bidi w:val="0"/>
              <w:spacing w:before="0" w:after="283"/>
              <w:jc w:val="both"/>
              <w:rPr/>
            </w:pPr>
            <w:r>
              <w:rPr/>
              <w:t>Counterparty is not, on the date hereof, in possession of any material non-public information with respect to Counterparty or the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(g)</w:t>
            </w:r>
          </w:p>
        </w:tc>
        <w:tc>
          <w:tcPr>
            <w:tcW w:w="9945" w:type="dxa"/>
            <w:tcBorders/>
            <w:vAlign w:val="center"/>
          </w:tcPr>
          <w:p>
            <w:pPr>
              <w:pStyle w:val="TableContents"/>
              <w:bidi w:val="0"/>
              <w:spacing w:before="0" w:after="283"/>
              <w:jc w:val="both"/>
              <w:rPr/>
            </w:pPr>
            <w:r>
              <w:rPr/>
              <w:t>To its knowledge, no state or local (including any non-U.S. jurisdiction’s) law, rule, regulation or regulatory order applicable to the Shares (not including (x) the Securities Exchange Act of 1934, as amended (the “</w:t>
            </w:r>
            <w:r>
              <w:rPr>
                <w:b/>
              </w:rPr>
              <w:t>Exchange Act</w:t>
            </w:r>
            <w:r>
              <w:rPr/>
              <w:t>”), (y) any rules or regulations under the Exchange Act or (z) laws, rules, regulations or regulatory orders of any jurisdiction that are applicable solely as a result of Dealer’s and/or its affiliates’ activities, assets or businesses, other than Dealer’s activities in respect of the Transaction) would give rise to any reporting, consent, registration or other requirement (including without limitation a requirement to obtain prior approval from any person or entity) as a result of Dealer or its affiliates owning or holding (however defined) Shares in connection with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(h)</w:t>
            </w:r>
          </w:p>
        </w:tc>
        <w:tc>
          <w:tcPr>
            <w:tcW w:w="9937" w:type="dxa"/>
            <w:tcBorders/>
            <w:vAlign w:val="center"/>
          </w:tcPr>
          <w:p>
            <w:pPr>
              <w:pStyle w:val="TableContents"/>
              <w:bidi w:val="0"/>
              <w:spacing w:before="0" w:after="283"/>
              <w:jc w:val="both"/>
              <w:rPr/>
            </w:pPr>
            <w:r>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(i)</w:t>
            </w:r>
          </w:p>
        </w:tc>
        <w:tc>
          <w:tcPr>
            <w:tcW w:w="10008" w:type="dxa"/>
            <w:tcBorders/>
            <w:vAlign w:val="center"/>
          </w:tcPr>
          <w:p>
            <w:pPr>
              <w:pStyle w:val="TableContents"/>
              <w:bidi w:val="0"/>
              <w:spacing w:before="0" w:after="283"/>
              <w:jc w:val="both"/>
              <w:rPr/>
            </w:pPr>
            <w:r>
              <w:rPr/>
              <w:t>On and immediately after the Trade Date and the Premium Payment Date, (A) the value of the total assets of Counterparty is greater than the sum of the total liabilities (including contingent liabilities) and the capital (as such terms are defined in Section 154 and Section 244 of the General Corporation Law of the State of Delaware) of Counterparty,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will be able to continue as a going concern; (E) Counterparty is not “insolvent” (as such term is defined under Section 101(32) of the U.S. Bankruptcy Code (Title 11 of the United States Code) (the “</w:t>
            </w:r>
            <w:r>
              <w:rPr>
                <w:b/>
              </w:rPr>
              <w:t>Bankruptcy Code</w:t>
            </w:r>
            <w:r>
              <w:rPr/>
              <w:t>”)) and (F) Counterparty would be able to purchase the Number of Shares with respect to the Transaction in compliance with the laws of the jurisdiction of Counterparty’s incorporation (including the adequate surplus and capital requirements of Sections 154 and 160 of the General Corporation Law of the State of Delaware).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(j)</w:t>
            </w:r>
          </w:p>
        </w:tc>
        <w:tc>
          <w:tcPr>
            <w:tcW w:w="9989" w:type="dxa"/>
            <w:tcBorders/>
            <w:vAlign w:val="center"/>
          </w:tcPr>
          <w:p>
            <w:pPr>
              <w:pStyle w:val="TableContents"/>
              <w:bidi w:val="0"/>
              <w:spacing w:before="0" w:after="283"/>
              <w:jc w:val="both"/>
              <w:rPr/>
            </w:pPr>
            <w:r>
              <w:rPr/>
              <w:t xml:space="preserve">[Counterparty represents and warrants that it has received, read and understands the </w:t>
            </w:r>
            <w:r>
              <w:rPr>
                <w:b/>
              </w:rPr>
              <w:t>OTC Options Risk Disclosure Statement</w:t>
            </w:r>
            <w:r>
              <w:rPr/>
              <w:t xml:space="preserve"> and a copy of the most recent disclosure pamphlet prepared by The Options Clearing Corporation entitled “</w:t>
            </w:r>
            <w:r>
              <w:rPr>
                <w:b/>
              </w:rPr>
              <w:t>Characteristics and Risks of Standardized Options</w:t>
            </w:r>
            <w:r>
              <w:rPr/>
              <w:t>”.]</w:t>
            </w:r>
            <w:r>
              <w:rPr>
                <w:position w:val="8"/>
                <w:sz w:val="19"/>
              </w:rPr>
              <w:t>40</w:t>
            </w:r>
          </w:p>
        </w:tc>
      </w:tr>
    </w:tbl>
    <w:p>
      <w:pPr>
        <w:pStyle w:val="TextBody"/>
        <w:bidi w:val="0"/>
        <w:spacing w:before="0" w:after="0"/>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20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1805" w:type="dxa"/>
            <w:tcBorders/>
            <w:vAlign w:val="center"/>
          </w:tcPr>
          <w:p>
            <w:pPr>
              <w:pStyle w:val="TableContents"/>
              <w:bidi w:val="0"/>
              <w:spacing w:before="0" w:after="283"/>
              <w:jc w:val="left"/>
              <w:rPr>
                <w:b/>
              </w:rPr>
            </w:pPr>
            <w:r>
              <w:rPr>
                <w:b/>
                <w:u w:val="single"/>
              </w:rPr>
              <w:t>Other Provisions</w:t>
            </w: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i/>
                <w:u w:val="single"/>
              </w:rPr>
              <w:t>Opinions</w:t>
            </w:r>
            <w:r>
              <w:rPr/>
              <w:t>. Counterparty shall deliver to Dealer an opinion of counsel, dated as of the Premium Payment Date, with respect to the matters set forth in Sections 8(a) through (c) of this Confirmation, subject to customary assumptions, qualifications and exemptions, in each case, reasonably acceptable to Dealer. Delivery of such opinion to Dealer shall be a condition precedent for the purpose of Section 2(a)(iii) of the Agreement with respect to each obligation of Dealer under Section 2(a)(i) of the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40</w:t>
      </w:r>
      <w:r>
        <w:rPr>
          <w:rFonts w:ascii="Times New Roman;Times;Serif" w:hAnsi="Times New Roman;Times;Serif"/>
          <w:b w:val="false"/>
          <w:i w:val="false"/>
          <w:caps w:val="false"/>
          <w:smallCaps w:val="false"/>
          <w:sz w:val="20"/>
        </w:rPr>
        <w:t xml:space="preserve"> Include for applicable Dealers.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(b)</w:t>
            </w:r>
          </w:p>
        </w:tc>
        <w:tc>
          <w:tcPr>
            <w:tcW w:w="9952" w:type="dxa"/>
            <w:tcBorders/>
            <w:vAlign w:val="center"/>
          </w:tcPr>
          <w:p>
            <w:pPr>
              <w:pStyle w:val="TableContents"/>
              <w:bidi w:val="0"/>
              <w:spacing w:before="0" w:after="283"/>
              <w:jc w:val="both"/>
              <w:rPr/>
            </w:pPr>
            <w:r>
              <w:rPr>
                <w:i/>
                <w:u w:val="single"/>
              </w:rPr>
              <w:t>Repurchase Notices</w:t>
            </w:r>
            <w:r>
              <w:rPr/>
              <w:t>. Counterparty shall, no later than the day on which Counterparty effects any repurchase of Shares, give Dealer a written notice of such repurchase (a “</w:t>
            </w:r>
            <w:r>
              <w:rPr>
                <w:b/>
              </w:rPr>
              <w:t>Repurchase Notice</w:t>
            </w:r>
            <w:r>
              <w:rPr/>
              <w:t>”) if following such repurchase, the number of outstanding Shares as determined on such day is (i) less than [__]</w:t>
            </w:r>
            <w:r>
              <w:rPr>
                <w:position w:val="8"/>
                <w:sz w:val="19"/>
              </w:rPr>
              <w:t>41</w:t>
            </w:r>
            <w:r>
              <w:rPr/>
              <w:t xml:space="preserve"> million (in the case of the first such notice) or (ii) thereafter more than [__]</w:t>
            </w:r>
            <w:r>
              <w:rPr>
                <w:position w:val="8"/>
                <w:sz w:val="19"/>
              </w:rPr>
              <w:t>42</w:t>
            </w:r>
            <w:r>
              <w:rPr/>
              <w:t xml:space="preserve"> million less than the number of Shares included in the immediately preceding Repurchase Notice; </w:t>
            </w:r>
            <w:r>
              <w:rPr>
                <w:i/>
              </w:rPr>
              <w:t>provided</w:t>
            </w:r>
            <w:r>
              <w:rPr/>
              <w:t xml:space="preserve"> that, with respect to any repurchase of Shares pursuant to a plan under Rule 10b5-1 under the Exchange Act, Counterparty may elect to satisfy such requirement by promptly giving Dealer written notice of the entry into such plan, the maximum number of Shares that may be repurchased thereunder and the approximate dates or periods during which such repurchases may occur (with such maximum deemed repurchased on the date of such notice for purposes of this Section 9(b)). Counterparty agrees to indemnify and hold harmless Dealer and its affiliates and their respective officers, directors, employees, affiliates, advisors, agents and controlling persons (each, an “</w:t>
            </w:r>
            <w:r>
              <w:rPr>
                <w:b/>
              </w:rPr>
              <w:t>Indemnified Person</w:t>
            </w:r>
            <w:r>
              <w:rPr/>
              <w:t>”) from and against any and all commercially reasonable losses (including losses relating to Dealer’s commercially reasonable hedging activities as a consequence of becoming, or of the risk of becoming, a Section 16 “insider”, including without limitation, any forbearance from commercially reasonable hedging activities or cessation of commercially reasonable hedging activities and any commercially reasonable losses in connection therewith with respect to the Transaction), claims, damages, judgments, liabilities and commercially reasonable expenses (including reasonable attorney’s fees), joint or several, which an Indemnified Person may become subject to, as a result of Counterparty’s failure to provide Dealer with a Repurchase Notice when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within a commercially reasonable period of time,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and documented fees and expenses of such counsel related to such proceeding. Counterparty shall be relieved from liability to the extent that any Indemnified Person fails to notify Counterparty within a commercially reasonable period of time of any action commenced against it in respect of which indemnity may be sought hereunder to the extent Counterparty is materially prejudiced as a result thereof.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41</w:t>
      </w:r>
      <w:r>
        <w:rPr>
          <w:rFonts w:ascii="Times New Roman;Times;Serif" w:hAnsi="Times New Roman;Times;Serif"/>
          <w:b w:val="false"/>
          <w:i w:val="false"/>
          <w:caps w:val="false"/>
          <w:smallCaps w:val="false"/>
          <w:sz w:val="20"/>
        </w:rPr>
        <w:t xml:space="preserve"> Insert the number of Shares outstanding that would cause Dealer’s current position in the Shares underlying the Transaction (including the number of Shares underlying any additional transaction if the greenshoe is exercised in full, and any Shares under pre-existing call option transactions with Counterparty) to increase by 0.5%. To be based on Dealer with greatest number of underlying Shares (including the number of Shares underlying any additional transaction if the greenshoe is exercised in full, and any Shares underlying pre-existing call option transactions with Counterparty).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42</w:t>
      </w:r>
      <w:r>
        <w:rPr>
          <w:rFonts w:ascii="Times New Roman;Times;Serif" w:hAnsi="Times New Roman;Times;Serif"/>
          <w:b w:val="false"/>
          <w:i w:val="false"/>
          <w:caps w:val="false"/>
          <w:smallCaps w:val="false"/>
          <w:sz w:val="20"/>
        </w:rPr>
        <w:t xml:space="preserve"> Insert the number of Shares that, if repurchased, would cause Dealer’s current position in the Shares underlying the Transaction (including the number of Shares underlying any additional transaction if the greenshoe is exercised in full, and any Shares under pre-existing call option transactions with Counterparty) to increase by a further 0.5% from the threshold for the first Repurchase Notice. To be based on Dealer with greatest number of underlying Shares (including the number of Shares underlying any additional transaction if the greenshoe is exercised in full, and any Shares underlying pre-existing call option transactions with Counterparty).</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both"/>
              <w:rPr/>
            </w:pPr>
            <w:r>
              <w:rPr>
                <w:i/>
                <w:u w:val="single"/>
              </w:rPr>
              <w:t>Regulation M</w:t>
            </w:r>
            <w:r>
              <w:rPr/>
              <w:t>. Counterparty is not on the Trade Date engaged in a distribution, as such term is used in Regulation M under the Exchange Act,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(d)</w:t>
            </w:r>
          </w:p>
        </w:tc>
        <w:tc>
          <w:tcPr>
            <w:tcW w:w="9934" w:type="dxa"/>
            <w:tcBorders/>
            <w:vAlign w:val="center"/>
          </w:tcPr>
          <w:p>
            <w:pPr>
              <w:pStyle w:val="TableContents"/>
              <w:bidi w:val="0"/>
              <w:spacing w:before="0" w:after="283"/>
              <w:jc w:val="both"/>
              <w:rPr/>
            </w:pPr>
            <w:r>
              <w:rPr>
                <w:i/>
                <w:u w:val="single"/>
              </w:rPr>
              <w:t>No Manipulation</w:t>
            </w:r>
            <w:r>
              <w:rPr/>
              <w:t>. Counterparty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1062"/>
        <w:gridCol w:w="8997"/>
      </w:tblGrid>
      <w:tr>
        <w:trPr/>
        <w:tc>
          <w:tcPr>
            <w:tcW w:w="1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pPr>
            <w:r>
              <w:rPr/>
              <w:t>(e)</w:t>
            </w:r>
          </w:p>
        </w:tc>
        <w:tc>
          <w:tcPr>
            <w:tcW w:w="8997" w:type="dxa"/>
            <w:tcBorders/>
            <w:vAlign w:val="center"/>
          </w:tcPr>
          <w:p>
            <w:pPr>
              <w:pStyle w:val="TableContents"/>
              <w:bidi w:val="0"/>
              <w:spacing w:before="0" w:after="283"/>
              <w:jc w:val="both"/>
              <w:rPr/>
            </w:pPr>
            <w:r>
              <w:rPr>
                <w:i/>
                <w:u w:val="single"/>
              </w:rPr>
              <w:t>Transfer or Assignment</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(i)</w:t>
            </w:r>
          </w:p>
        </w:tc>
        <w:tc>
          <w:tcPr>
            <w:tcW w:w="9993" w:type="dxa"/>
            <w:tcBorders/>
            <w:vAlign w:val="center"/>
          </w:tcPr>
          <w:p>
            <w:pPr>
              <w:pStyle w:val="TableContents"/>
              <w:bidi w:val="0"/>
              <w:spacing w:before="0" w:after="283"/>
              <w:jc w:val="both"/>
              <w:rPr/>
            </w:pPr>
            <w:r>
              <w:rPr/>
              <w:t>Counterparty shall have the right to transfer or assign its rights and obligations hereunder with respect to all, but not less than all, of the Options hereunder (such Options, the “</w:t>
            </w:r>
            <w:r>
              <w:rPr>
                <w:b/>
              </w:rPr>
              <w:t>Transfer Options</w:t>
            </w:r>
            <w:r>
              <w:rPr/>
              <w:t xml:space="preserve">”); </w:t>
            </w:r>
            <w:r>
              <w:rPr>
                <w:i/>
              </w:rPr>
              <w:t>provided</w:t>
            </w:r>
            <w:r>
              <w:rPr/>
              <w:t xml:space="preserve"> that such transfer or assignment shall be subject to reasonable conditions that Dealer may impose, including but not limited, to the following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(A)</w:t>
            </w:r>
          </w:p>
        </w:tc>
        <w:tc>
          <w:tcPr>
            <w:tcW w:w="9859" w:type="dxa"/>
            <w:tcBorders/>
            <w:vAlign w:val="center"/>
          </w:tcPr>
          <w:p>
            <w:pPr>
              <w:pStyle w:val="TableContents"/>
              <w:bidi w:val="0"/>
              <w:spacing w:before="0" w:after="283"/>
              <w:jc w:val="both"/>
              <w:rPr/>
            </w:pPr>
            <w:r>
              <w:rPr/>
              <w:t>With respect to any Transfer Options, Counterparty shall not be released from its notice and indemnification obligations pursuant to Section ‎9(b) or any obligations under Section ‎9(n) or ‎9(s) of this Confirmation;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96" w:type="dxa"/>
            <w:tcBorders/>
            <w:vAlign w:val="center"/>
          </w:tcPr>
          <w:p>
            <w:pPr>
              <w:pStyle w:val="TableContents"/>
              <w:bidi w:val="0"/>
              <w:spacing w:before="0" w:after="283"/>
              <w:jc w:val="both"/>
              <w:rPr/>
            </w:pPr>
            <w:r>
              <w:rPr>
                <w:rFonts w:ascii="Times New Roman;Times;Serif" w:hAnsi="Times New Roman;Times;Serif"/>
              </w:rPr>
              <w:t xml:space="preserve">Such transfer or assignment shall be effected on terms, including any reasonable undertakings by such third party (including, but not limited to, an undertaking with respect to compliance with applicable securities laws in a manner that, in the reasonable judgment of </w:t>
            </w:r>
            <w:r>
              <w:rPr/>
              <w:t>Dealer</w:t>
            </w:r>
            <w:r>
              <w:rPr>
                <w:rFonts w:ascii="Times New Roman;Times;Serif" w:hAnsi="Times New Roman;Times;Serif"/>
              </w:rPr>
              <w:t xml:space="preserve">, will not expose </w:t>
            </w:r>
            <w:r>
              <w:rPr/>
              <w:t xml:space="preserve">Dealer </w:t>
            </w:r>
            <w:r>
              <w:rPr>
                <w:rFonts w:ascii="Times New Roman;Times;Serif" w:hAnsi="Times New Roman;Times;Serif"/>
              </w:rPr>
              <w:t xml:space="preserve">to material risks under applicable securities laws) and execution of any documentation and delivery of legal opinions with respect to securities laws and other matters by such third party and Counterparty, as are reasonably requested by and reasonably satisfactory to </w:t>
            </w:r>
            <w:r>
              <w:rPr/>
              <w:t>Dealer</w:t>
            </w:r>
            <w:r>
              <w:rPr>
                <w:rFonts w:ascii="Times New Roman;Times;Serif" w:hAnsi="Times New Roman;Times;Serif"/>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00" w:type="dxa"/>
            <w:tcBorders/>
            <w:vAlign w:val="center"/>
          </w:tcPr>
          <w:p>
            <w:pPr>
              <w:pStyle w:val="TableContents"/>
              <w:bidi w:val="0"/>
              <w:spacing w:before="0" w:after="283"/>
              <w:jc w:val="both"/>
              <w:rPr/>
            </w:pPr>
            <w:r>
              <w:rPr/>
              <w:t xml:space="preserve">Dealer </w:t>
            </w:r>
            <w:r>
              <w:rPr>
                <w:rFonts w:ascii="Times New Roman;Times;Serif" w:hAnsi="Times New Roman;Times;Serif"/>
              </w:rPr>
              <w:t xml:space="preserve">will not, as a result of such transfer or assignment (including, for the avoidance of doubt, after giving effect to any indemnity from the transferee or assignee to Dealer provided in connection with such transfer or assignment), (x) be required to pay the transferee or assignee on any payment date or settlement date an amount under Section 2(d)(i)(4) of the Agreement greater than the amount that </w:t>
            </w:r>
            <w:r>
              <w:rPr/>
              <w:t xml:space="preserve">Dealer </w:t>
            </w:r>
            <w:r>
              <w:rPr>
                <w:rFonts w:ascii="Times New Roman;Times;Serif" w:hAnsi="Times New Roman;Times;Serif"/>
              </w:rPr>
              <w:t>would have been required to pay to Counterparty in the absence of such transfer or assignment and (y) receive from the transferee or assignee on any payment date an amount (taking into account any additional amounts paid under Section 2(d)(i)(4) of the Agreement) that is less than the amount that Dealer would have received from Counterparty in the absence of such transfer or assignment;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7"/>
        <w:gridCol w:w="9831"/>
      </w:tblGrid>
      <w:tr>
        <w:trPr/>
        <w:tc>
          <w:tcPr>
            <w:tcW w:w="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(D)</w:t>
            </w:r>
          </w:p>
        </w:tc>
        <w:tc>
          <w:tcPr>
            <w:tcW w:w="9831" w:type="dxa"/>
            <w:tcBorders/>
            <w:vAlign w:val="center"/>
          </w:tcPr>
          <w:p>
            <w:pPr>
              <w:pStyle w:val="TableContents"/>
              <w:bidi w:val="0"/>
              <w:spacing w:before="0" w:after="283"/>
              <w:jc w:val="both"/>
              <w:rPr/>
            </w:pPr>
            <w:r>
              <w:rPr/>
              <w:t>No Event of Default, Potential Event of Default or Termination Event will occur as a result of such transfer or assignment;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(E)</w:t>
            </w:r>
          </w:p>
        </w:tc>
        <w:tc>
          <w:tcPr>
            <w:tcW w:w="9875" w:type="dxa"/>
            <w:tcBorders/>
            <w:vAlign w:val="center"/>
          </w:tcPr>
          <w:p>
            <w:pPr>
              <w:pStyle w:val="TableContents"/>
              <w:bidi w:val="0"/>
              <w:spacing w:before="0" w:after="283"/>
              <w:jc w:val="both"/>
              <w:rPr/>
            </w:pPr>
            <w:r>
              <w:rPr/>
              <w:t>Counterparty shall cause the transferee or assignee to make such Payee Tax Representations and to provide such tax documentation as may be reasonably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requested by Dealer to permit Dealer to determine that results described in clauses (C) and (D) will not occur upon or after such transfer or assignment; and</w:t>
      </w:r>
    </w:p>
    <w:p>
      <w:pPr>
        <w:pStyle w:val="TextBody"/>
        <w:bidi w:val="0"/>
        <w:spacing w:before="0" w:after="0"/>
        <w:ind w:left="28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(F)</w:t>
            </w:r>
          </w:p>
        </w:tc>
        <w:tc>
          <w:tcPr>
            <w:tcW w:w="9896" w:type="dxa"/>
            <w:tcBorders/>
            <w:vAlign w:val="center"/>
          </w:tcPr>
          <w:p>
            <w:pPr>
              <w:pStyle w:val="TableContents"/>
              <w:bidi w:val="0"/>
              <w:spacing w:before="0" w:after="283"/>
              <w:jc w:val="both"/>
              <w:rPr/>
            </w:pPr>
            <w:r>
              <w:rPr/>
              <w:t>Counterparty shall be responsible for all reasonable costs and expenses, including reasonable counsel fees, incurred by Dealer in connection with such transfer or assignment.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(ii)</w:t>
            </w:r>
          </w:p>
        </w:tc>
        <w:tc>
          <w:tcPr>
            <w:tcW w:w="9952" w:type="dxa"/>
            <w:tcBorders/>
            <w:vAlign w:val="center"/>
          </w:tcPr>
          <w:p>
            <w:pPr>
              <w:pStyle w:val="TableContents"/>
              <w:bidi w:val="0"/>
              <w:spacing w:before="0" w:after="283"/>
              <w:jc w:val="both"/>
              <w:rPr/>
            </w:pPr>
            <w:r>
              <w:rPr/>
              <w:t>Dealer may transfer or assign all or any part of its rights or obligations under the Transaction (A) without Counterparty’s consent, to any affiliate of Dealer (1) that has a rating for its long-term, unsecured and unsubordinated indebtedness that is equal to or better than Dealer’s credit rating at the time of such transfer or assignment, or (2) whose obligations hereunder will be guaranteed, pursuant to the terms of a customary guarantee in a form used by Dealer generally for similar transactions, by Dealer [or Dealer’s ultimate parent]</w:t>
            </w:r>
            <w:r>
              <w:rPr>
                <w:position w:val="8"/>
                <w:sz w:val="19"/>
              </w:rPr>
              <w:t>43</w:t>
            </w:r>
            <w:r>
              <w:rPr/>
              <w:t xml:space="preserve"> or (B) with Counterparty’s consent (such consent not to be unreasonably withheld), to any other recognized dealer in transactions of the same type as the Transaction with a rating for its long-term, unsecured and unsubordinated indebtedness equal to or better than the lesser of (1) the credit rating of Dealer at the time of the transfer or assignment and (2) A- by Standard &amp; Poor’s Financial Services LLC or its successor (“</w:t>
            </w:r>
            <w:r>
              <w:rPr>
                <w:b/>
              </w:rPr>
              <w:t>S&amp;P</w:t>
            </w:r>
            <w:r>
              <w:rPr/>
              <w:t>”), or A3 by Moody’s Investor Service, Inc. (“</w:t>
            </w:r>
            <w:r>
              <w:rPr>
                <w:b/>
              </w:rPr>
              <w:t>Moody’s</w:t>
            </w:r>
            <w:r>
              <w:rPr/>
              <w:t xml:space="preserve">”) or, if either S&amp;P or Moody’s ceases to rate such debt, at least an equivalent rating or better by a substitute rating agency mutually agreed by Counterparty and Dealer; </w:t>
            </w:r>
            <w:r>
              <w:rPr>
                <w:i/>
              </w:rPr>
              <w:t>provided</w:t>
            </w:r>
            <w:r>
              <w:rPr/>
              <w:t xml:space="preserve">, </w:t>
            </w:r>
            <w:r>
              <w:rPr>
                <w:i/>
              </w:rPr>
              <w:t>however</w:t>
            </w:r>
            <w:r>
              <w:rPr/>
              <w:t>, that Dealer may transfer or assign pursuant to this paragraph only if (A) the transferee or assignee is a “dealer in securities” within the meaning of Section 475(c)(1) of the Internal Revenue Code of 1986, as amended (the “</w:t>
            </w:r>
            <w:r>
              <w:rPr>
                <w:b/>
              </w:rPr>
              <w:t>Code</w:t>
            </w:r>
            <w:r>
              <w:rPr/>
              <w:t>”), (B) the transfer or assignment will not constitute a “deemed exchange” by Counterparty within the meaning of Section 1001 of the Code, (C) Counterparty will not, as a result of such transfer or assignment, (x) be required to pay the transferee or assignee on any payment date or settlement date an amount under Section 2(d)(i)(4) of the Agreement greater than the amount that Counterparty would have been required to pay to Dealer in the absence of such transfer or assignment; and (y) receive from the transferee or assignee on any payment date or settlement date an amount (taking into account any additional amounts paid under Section 2(d)(i)(4) of the Agreement) that is less than the amount that Counterparty would have received from Dealer in the absence of such transfer or assignment, (D) no Event of Default, Potential Event of Default or Termination Event will occur as a result of such transfer or assignment, and (E) Dealer shall cause the transferee or assignee to make such Payee Tax Representations and to provide such tax documentation as may be reasonably requested by Counterparty to permit Counterparty to determine that results described in clauses (C) and (D) will not occur upon or after such transfer or assignment. If at any time at which (A) the Section 16 Percentage exceeds 8.5%, (B) the Option Equity Percentage exceeds 14.5%, or (C) the Share Amount exceeds the Applicable Share Limit (if any applies) (any such condition described in clauses (A), (B) or (C), an “</w:t>
            </w:r>
            <w:r>
              <w:rPr>
                <w:b/>
              </w:rPr>
              <w:t>Excess Ownership Position</w:t>
            </w:r>
            <w:r>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b/>
              </w:rPr>
              <w:t>Terminated Portion</w:t>
            </w:r>
            <w:r>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‎9(l) of this Confirmation shall apply to any amount that is payable</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43</w:t>
      </w:r>
      <w:r>
        <w:rPr>
          <w:rFonts w:ascii="Times New Roman;Times;Serif" w:hAnsi="Times New Roman;Times;Serif"/>
          <w:b w:val="false"/>
          <w:i w:val="false"/>
          <w:caps w:val="false"/>
          <w:smallCaps w:val="false"/>
          <w:sz w:val="20"/>
        </w:rPr>
        <w:t xml:space="preserve"> Include if credit support is being provided.</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Dealer to Counterparty pursuant to this sentence as if Counterparty was not the Affected Party). The “</w:t>
      </w:r>
      <w:r>
        <w:rPr>
          <w:rFonts w:ascii="Times New Roman;Times;Serif" w:hAnsi="Times New Roman;Times;Serif"/>
          <w:b/>
          <w:i w:val="false"/>
          <w:caps w:val="false"/>
          <w:smallCaps w:val="false"/>
          <w:sz w:val="20"/>
        </w:rPr>
        <w:t>Section 16 Percentage</w:t>
      </w:r>
      <w:r>
        <w:rPr>
          <w:rFonts w:ascii="Times New Roman;Times;Serif" w:hAnsi="Times New Roman;Times;Serif"/>
          <w:b w:val="false"/>
          <w:i w:val="false"/>
          <w:caps w:val="false"/>
          <w:smallCaps w:val="false"/>
          <w:sz w:val="20"/>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Times;Serif" w:hAnsi="Times New Roman;Times;Serif"/>
          <w:b/>
          <w:i w:val="false"/>
          <w:caps w:val="false"/>
          <w:smallCaps w:val="false"/>
          <w:sz w:val="20"/>
        </w:rPr>
        <w:t>Option Equity Percentage</w:t>
      </w:r>
      <w:r>
        <w:rPr>
          <w:rFonts w:ascii="Times New Roman;Times;Serif" w:hAnsi="Times New Roman;Times;Serif"/>
          <w:b w:val="false"/>
          <w:i w:val="false"/>
          <w:caps w:val="false"/>
          <w:smallCaps w:val="false"/>
          <w:sz w:val="20"/>
        </w:rPr>
        <w:t>” as of any day is the fraction, expressed as a percentage, (A) the numerator of which is the sum of (1) the product of the Number of Options and the Option Entitlement and (2) the aggregate number of Shares underlying any other call option transaction sold by Dealer to Counterparty, and (B) the denominator of which is the number of Shares outstanding. The “</w:t>
      </w:r>
      <w:r>
        <w:rPr>
          <w:rFonts w:ascii="Times New Roman;Times;Serif" w:hAnsi="Times New Roman;Times;Serif"/>
          <w:b/>
          <w:i w:val="false"/>
          <w:caps w:val="false"/>
          <w:smallCaps w:val="false"/>
          <w:sz w:val="20"/>
        </w:rPr>
        <w:t>Share Amount</w:t>
      </w:r>
      <w:r>
        <w:rPr>
          <w:rFonts w:ascii="Times New Roman;Times;Serif" w:hAnsi="Times New Roman;Times;Serif"/>
          <w:b w:val="false"/>
          <w:i w:val="false"/>
          <w:caps w:val="false"/>
          <w:smallCaps w:val="false"/>
          <w:sz w:val="20"/>
        </w:rPr>
        <w:t>” as of any day is the number of Shares that Dealer and any person whose ownership position would be aggregated with that of Dealer (Dealer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any law, rule, regulation, regulatory order or organizational documents or contracts of Counterparty that are, in each case,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owns, beneficially owns, constructively owns, controls, holds the power to vote or otherwise meets a relevant definition of ownership under any Applicable Restriction, as determined by Dealer in its reasonable discretion. The “</w:t>
      </w:r>
      <w:r>
        <w:rPr>
          <w:rFonts w:ascii="Times New Roman;Times;Serif" w:hAnsi="Times New Roman;Times;Serif"/>
          <w:b/>
          <w:i w:val="false"/>
          <w:caps w:val="false"/>
          <w:smallCaps w:val="false"/>
          <w:sz w:val="20"/>
        </w:rPr>
        <w:t>Applicable Share Limit</w:t>
      </w:r>
      <w:r>
        <w:rPr>
          <w:rFonts w:ascii="Times New Roman;Times;Serif" w:hAnsi="Times New Roman;Times;Serif"/>
          <w:b w:val="false"/>
          <w:i w:val="false"/>
          <w:caps w:val="false"/>
          <w:smallCaps w:val="false"/>
          <w:sz w:val="20"/>
        </w:rPr>
        <w:t xml:space="preserve">” means a number of Shares equal to (A) the minimum number of Shares that, in Dealer’s reasonable judgment based on advice of counsel, could give rise to reporting or registration obligations (except for filings on Form 13F, Schedule 13D or Schedule 13G, in each case, as in effect on the Trade Date) or other requirements (including obtaining prior approval from any person or entity) of a Dealer Person, or could reasonably be expected to result in an adverse effect on a Dealer Person, under any Applicable Restriction, as determined by Dealer in its reasonable discretion,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1% of the number of Shares outstanding. Dealer shall provide Counterparty with written notice of any transfer or assignment on the date of or as promptly as practicable after the date of such transfer or assignment.</w:t>
      </w:r>
    </w:p>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(iii)</w:t>
            </w:r>
          </w:p>
        </w:tc>
        <w:tc>
          <w:tcPr>
            <w:tcW w:w="9883" w:type="dxa"/>
            <w:tcBorders/>
            <w:vAlign w:val="center"/>
          </w:tcPr>
          <w:p>
            <w:pPr>
              <w:pStyle w:val="TableContents"/>
              <w:bidi w:val="0"/>
              <w:spacing w:before="0" w:after="283"/>
              <w:jc w:val="both"/>
              <w:rPr/>
            </w:pPr>
            <w:r>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(f)</w:t>
            </w:r>
          </w:p>
        </w:tc>
        <w:tc>
          <w:tcPr>
            <w:tcW w:w="9987" w:type="dxa"/>
            <w:tcBorders/>
            <w:vAlign w:val="center"/>
          </w:tcPr>
          <w:p>
            <w:pPr>
              <w:pStyle w:val="TableContents"/>
              <w:bidi w:val="0"/>
              <w:spacing w:before="0" w:after="283"/>
              <w:jc w:val="both"/>
              <w:rPr/>
            </w:pPr>
            <w:r>
              <w:rPr>
                <w:i/>
                <w:u w:val="single"/>
              </w:rPr>
              <w:t>Staggered Settlement</w:t>
            </w:r>
            <w:r>
              <w:rPr/>
              <w:t>. If upon advice of counsel with respect to applicable legal and regulatory requirements, including any requirements relating to Dealer’s commercially reasonable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b/>
              </w:rPr>
              <w:t>Nominal Settlement Date</w:t>
            </w:r>
            <w:r>
              <w:rPr/>
              <w:t>”), elect to deliver the Shares on two or more dates (each, a “</w:t>
            </w:r>
            <w:r>
              <w:rPr>
                <w:b/>
              </w:rPr>
              <w:t>Staggered Settlement Date</w:t>
            </w:r>
            <w:r>
              <w:rPr/>
              <w:t>”)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both"/>
              <w:rPr/>
            </w:pPr>
            <w:r>
              <w:rPr/>
              <w:t>in such notice, Dealer will specify to Counterparty the related Staggered Settlement Dates (each of which will be on or prior to such Nominal Settlement Date) and the number of Shares that it will deliver on each Staggered Settlement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(ii)</w:t>
            </w:r>
          </w:p>
        </w:tc>
        <w:tc>
          <w:tcPr>
            <w:tcW w:w="9924" w:type="dxa"/>
            <w:tcBorders/>
            <w:vAlign w:val="center"/>
          </w:tcPr>
          <w:p>
            <w:pPr>
              <w:pStyle w:val="TableContents"/>
              <w:bidi w:val="0"/>
              <w:spacing w:before="0" w:after="283"/>
              <w:jc w:val="both"/>
              <w:rPr/>
            </w:pPr>
            <w:r>
              <w:rPr/>
              <w:t>the aggregate number of Shares that Dealer will deliver to Counterparty hereunder on all such Staggered Settlement Dates will equal the number of Shares that Dealer would otherwise be required to deliver on such Nominal Settlement Date;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(iii)</w:t>
            </w:r>
          </w:p>
        </w:tc>
        <w:tc>
          <w:tcPr>
            <w:tcW w:w="9879" w:type="dxa"/>
            <w:tcBorders/>
            <w:vAlign w:val="center"/>
          </w:tcPr>
          <w:p>
            <w:pPr>
              <w:pStyle w:val="TableContents"/>
              <w:bidi w:val="0"/>
              <w:spacing w:before="0" w:after="283"/>
              <w:jc w:val="both"/>
              <w:rPr/>
            </w:pPr>
            <w:r>
              <w:rPr/>
              <w:t>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2051"/>
        <w:gridCol w:w="7886"/>
      </w:tblGrid>
      <w:tr>
        <w:trPr/>
        <w:tc>
          <w:tcPr>
            <w:tcW w:w="268"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pPr>
            <w:r>
              <w:rPr/>
              <w:t>(g)</w:t>
            </w:r>
          </w:p>
        </w:tc>
        <w:tc>
          <w:tcPr>
            <w:tcW w:w="7886" w:type="dxa"/>
            <w:tcBorders/>
            <w:vAlign w:val="center"/>
          </w:tcPr>
          <w:p>
            <w:pPr>
              <w:pStyle w:val="TableContents"/>
              <w:bidi w:val="0"/>
              <w:spacing w:before="0" w:after="283"/>
              <w:jc w:val="both"/>
              <w:rPr>
                <w:u w:val="single"/>
              </w:rPr>
            </w:pPr>
            <w:r>
              <w:rPr>
                <w:u w:val="single"/>
              </w:rPr>
              <w:t>[</w:t>
            </w:r>
            <w:r>
              <w:rPr>
                <w:i/>
                <w:u w:val="single"/>
              </w:rPr>
              <w:t>Reserved.</w:t>
            </w:r>
            <w:r>
              <w:rPr>
                <w:u w:val="single"/>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(h)</w:t>
            </w:r>
          </w:p>
        </w:tc>
        <w:tc>
          <w:tcPr>
            <w:tcW w:w="9925" w:type="dxa"/>
            <w:tcBorders/>
            <w:vAlign w:val="center"/>
          </w:tcPr>
          <w:p>
            <w:pPr>
              <w:pStyle w:val="TableContents"/>
              <w:bidi w:val="0"/>
              <w:spacing w:before="0" w:after="283"/>
              <w:jc w:val="both"/>
              <w:rPr/>
            </w:pPr>
            <w:r>
              <w:rPr/>
              <w:t>[</w:t>
            </w:r>
            <w:r>
              <w:rPr>
                <w:i/>
                <w:u w:val="single"/>
              </w:rPr>
              <w:t>Conduct Rules</w:t>
            </w:r>
            <w:r>
              <w:rPr/>
              <w:t>. Each party acknowledges and agrees to be bound by the Conduct Rules of the Financial Industry Regulatory Authority applicable to transactions in options, and further agrees not to violate the position and exercise limits set forth therein.]</w:t>
            </w:r>
            <w:r>
              <w:rPr>
                <w:position w:val="8"/>
                <w:sz w:val="19"/>
              </w:rPr>
              <w:t>44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717"/>
        <w:gridCol w:w="9370"/>
      </w:tblGrid>
      <w:tr>
        <w:trPr/>
        <w:tc>
          <w:tcPr>
            <w:tcW w:w="11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pPr>
            <w:r>
              <w:rPr/>
              <w:t>(i)</w:t>
            </w:r>
          </w:p>
        </w:tc>
        <w:tc>
          <w:tcPr>
            <w:tcW w:w="9370" w:type="dxa"/>
            <w:tcBorders/>
            <w:vAlign w:val="center"/>
          </w:tcPr>
          <w:p>
            <w:pPr>
              <w:pStyle w:val="TableContents"/>
              <w:bidi w:val="0"/>
              <w:spacing w:before="0" w:after="283"/>
              <w:jc w:val="both"/>
              <w:rPr/>
            </w:pPr>
            <w:r>
              <w:rPr>
                <w:i/>
                <w:u w:val="single"/>
              </w:rPr>
              <w:t>Additional Termination Events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(i)</w:t>
            </w:r>
          </w:p>
        </w:tc>
        <w:tc>
          <w:tcPr>
            <w:tcW w:w="9986" w:type="dxa"/>
            <w:tcBorders/>
            <w:vAlign w:val="center"/>
          </w:tcPr>
          <w:p>
            <w:pPr>
              <w:pStyle w:val="TableContents"/>
              <w:bidi w:val="0"/>
              <w:spacing w:before="0" w:after="283"/>
              <w:jc w:val="both"/>
              <w:rPr/>
            </w:pPr>
            <w:r>
              <w:rPr/>
              <w:t>Notwithstanding anything to the contrary in this Confirmation, upon any Early Conversion in respect of which a Notice of Conversion that is effective as to Counterparty has been delivered by the relevant converting “Holder” (as defined in the Indenture):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(A)</w:t>
            </w:r>
          </w:p>
        </w:tc>
        <w:tc>
          <w:tcPr>
            <w:tcW w:w="9883" w:type="dxa"/>
            <w:tcBorders/>
            <w:vAlign w:val="center"/>
          </w:tcPr>
          <w:p>
            <w:pPr>
              <w:pStyle w:val="TableContents"/>
              <w:bidi w:val="0"/>
              <w:spacing w:before="0" w:after="283"/>
              <w:jc w:val="both"/>
              <w:rPr/>
            </w:pPr>
            <w:r>
              <w:rPr/>
              <w:t>Counterparty shall, within ten Scheduled Trading Days of the “Conversion Date” (as defined in the Indenture) for such Early Conversion, provide written notice (an “</w:t>
            </w:r>
            <w:r>
              <w:rPr>
                <w:b/>
              </w:rPr>
              <w:t>Early Conversion Notice</w:t>
            </w:r>
            <w:r>
              <w:rPr/>
              <w:t>”) to Dealer specifying the number of Convertible Notes surrendered for conversion on such Conversion Date (such Convertible Notes, the “</w:t>
            </w:r>
            <w:r>
              <w:rPr>
                <w:b/>
              </w:rPr>
              <w:t>Affected Convertible Notes</w:t>
            </w:r>
            <w:r>
              <w:rPr/>
              <w:t xml:space="preserve">”)[; </w:t>
            </w:r>
            <w:r>
              <w:rPr>
                <w:i/>
              </w:rPr>
              <w:t xml:space="preserve">provided </w:t>
            </w:r>
            <w:r>
              <w:rPr/>
              <w:t xml:space="preserve">that, any “Early Conversion Notice” delivered to Dealer pursuant to the Base Call Option Confirmation shall be deemed to be an Early Conversion Notice pursuant to this Confirmation and the terms of such Early Conversion Notice shall apply, </w:t>
            </w:r>
            <w:r>
              <w:rPr>
                <w:i/>
              </w:rPr>
              <w:t>mutatis mutandis</w:t>
            </w:r>
            <w:r>
              <w:rPr/>
              <w:t>, to this Confirmation]</w:t>
            </w:r>
            <w:r>
              <w:rPr>
                <w:position w:val="8"/>
                <w:sz w:val="19"/>
              </w:rPr>
              <w:t>45</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(B)</w:t>
            </w:r>
          </w:p>
        </w:tc>
        <w:tc>
          <w:tcPr>
            <w:tcW w:w="9861" w:type="dxa"/>
            <w:tcBorders/>
            <w:vAlign w:val="center"/>
          </w:tcPr>
          <w:p>
            <w:pPr>
              <w:pStyle w:val="TableContents"/>
              <w:bidi w:val="0"/>
              <w:spacing w:before="0" w:after="283"/>
              <w:jc w:val="both"/>
              <w:rPr/>
            </w:pPr>
            <w:r>
              <w:rPr/>
              <w:t>the giving of an Early Conversion Notice pursuant to subclause (A) above shall constitute an Additional Termination Event as provided in this Section 9(i)‎(i);</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(C)</w:t>
            </w:r>
          </w:p>
        </w:tc>
        <w:tc>
          <w:tcPr>
            <w:tcW w:w="9903" w:type="dxa"/>
            <w:tcBorders/>
            <w:vAlign w:val="center"/>
          </w:tcPr>
          <w:p>
            <w:pPr>
              <w:pStyle w:val="TableContents"/>
              <w:bidi w:val="0"/>
              <w:spacing w:before="0" w:after="283"/>
              <w:jc w:val="both"/>
              <w:rPr/>
            </w:pPr>
            <w:r>
              <w:rPr/>
              <w:t>upon receipt of any such Early Conversion Notice, Dealer shall designate an Exchange Business Day as an Early Termination Date (which Exchange Business Day shall be on or as promptly as reasonably practicable after the related settlement date for the conversion of such Affected Convertible Notes) with respect to the portion of the Transaction corresponding to a number of Options (the “</w:t>
            </w:r>
            <w:r>
              <w:rPr>
                <w:b/>
              </w:rPr>
              <w:t>Affected Number of Options</w:t>
            </w:r>
            <w:r>
              <w:rPr/>
              <w:t>”) equal to the lesser of (x) the number of Affected Convertible Notes [</w:t>
            </w:r>
            <w:r>
              <w:rPr>
                <w:i/>
              </w:rPr>
              <w:t xml:space="preserve">minus </w:t>
            </w:r>
            <w:r>
              <w:rPr/>
              <w:t>the “Affected Number of Options” (as defined in the Base Call Option Confirmation), if any, that relate to such Affected Convertible Notes (and for the purposes of determining whether any Options under this Confirmation or under the Base Call Option Confirmation will be among the Affected Number of Options hereunder or under, and as defined in, the Base Call Option Confirmation, the Affected Convertible Notes specified in such Early Conversion Notice shall be allocated first to the Base Call Option Confirmation until all Options thereunder are exercised or terminated)]</w:t>
            </w:r>
            <w:r>
              <w:rPr>
                <w:position w:val="8"/>
                <w:sz w:val="19"/>
              </w:rPr>
              <w:t>46</w:t>
            </w:r>
            <w:r>
              <w:rPr/>
              <w:t xml:space="preserve"> and (y) the Number of Options as of the “Conversion Date” (as defined in the Indenture) for such Early Conversion;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8"/>
        <w:gridCol w:w="9870"/>
      </w:tblGrid>
      <w:tr>
        <w:trPr/>
        <w:tc>
          <w:tcPr>
            <w:tcW w:w="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(D)</w:t>
            </w:r>
          </w:p>
        </w:tc>
        <w:tc>
          <w:tcPr>
            <w:tcW w:w="9870" w:type="dxa"/>
            <w:tcBorders/>
            <w:vAlign w:val="center"/>
          </w:tcPr>
          <w:p>
            <w:pPr>
              <w:pStyle w:val="TableContents"/>
              <w:bidi w:val="0"/>
              <w:spacing w:before="0" w:after="283"/>
              <w:jc w:val="both"/>
              <w:rPr/>
            </w:pPr>
            <w:r>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44</w:t>
      </w:r>
      <w:r>
        <w:rPr>
          <w:rFonts w:ascii="Times New Roman;Times;Serif" w:hAnsi="Times New Roman;Times;Serif"/>
          <w:b w:val="false"/>
          <w:i w:val="false"/>
          <w:caps w:val="false"/>
          <w:smallCaps w:val="false"/>
          <w:sz w:val="20"/>
        </w:rPr>
        <w:t xml:space="preserve"> Include for applicable Dealers.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45</w:t>
      </w:r>
      <w:r>
        <w:rPr>
          <w:rFonts w:ascii="Times New Roman;Times;Serif" w:hAnsi="Times New Roman;Times;Serif"/>
          <w:b w:val="false"/>
          <w:i w:val="false"/>
          <w:caps w:val="false"/>
          <w:smallCaps w:val="false"/>
          <w:sz w:val="20"/>
        </w:rPr>
        <w:t xml:space="preserve"> Insert for Additional Call Option Confirmation.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46</w:t>
      </w:r>
      <w:r>
        <w:rPr>
          <w:rFonts w:ascii="Times New Roman;Times;Serif" w:hAnsi="Times New Roman;Times;Serif"/>
          <w:b w:val="false"/>
          <w:i w:val="false"/>
          <w:caps w:val="false"/>
          <w:smallCaps w:val="false"/>
          <w:sz w:val="20"/>
        </w:rPr>
        <w:t xml:space="preserve"> Include in Additional Call Option Confirmation only.</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Counterparty were the sole Affected Party with respect to such Additional Termination Event and (z) the terminated portion of the Transaction were the sole Affected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payable with respect to such termination shall not be greater than (1) the Applicable Percentage,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(2) the Affected Number of Options,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 xml:space="preserve">(3) (x) the sum of (i) the amount of cash paid (if any) to the “Holder” (as such term is defined in the Indenture) of an Affected Convertible Note upon conversion of such Affected Convertible Note and (ii) the number of Shares delivered (if any) to the “Holder” (as such term is defined in the Indenture) of an Affected Convertible Note upon conversion of such Affected Convertible Note,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the Applicable Limit Price on the relevant date of payment,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the Synthetic Instrument Adjusted Issue Price per Convertible Note, as determined by the Calculation Agent in good faith and in a commercially reasonable manner.  “</w:t>
      </w:r>
      <w:r>
        <w:rPr>
          <w:rFonts w:ascii="Times New Roman;Times;Serif" w:hAnsi="Times New Roman;Times;Serif"/>
          <w:b/>
          <w:i w:val="false"/>
          <w:caps w:val="false"/>
          <w:smallCaps w:val="false"/>
          <w:sz w:val="20"/>
        </w:rPr>
        <w:t>Synthetic Instrument Adjusted Issue Price per Convertible Note</w:t>
      </w:r>
      <w:r>
        <w:rPr>
          <w:rFonts w:ascii="Times New Roman;Times;Serif" w:hAnsi="Times New Roman;Times;Serif"/>
          <w:b w:val="false"/>
          <w:i w:val="false"/>
          <w:caps w:val="false"/>
          <w:smallCaps w:val="false"/>
          <w:sz w:val="20"/>
        </w:rPr>
        <w:t>” shall mean the amount determined by the Calculation Agent by reference to the table set forth below (the “</w:t>
      </w:r>
      <w:r>
        <w:rPr>
          <w:rFonts w:ascii="Times New Roman;Times;Serif" w:hAnsi="Times New Roman;Times;Serif"/>
          <w:b/>
          <w:i w:val="false"/>
          <w:caps w:val="false"/>
          <w:smallCaps w:val="false"/>
          <w:sz w:val="20"/>
        </w:rPr>
        <w:t>Synthetic Instrument AIP Table</w:t>
      </w:r>
      <w:r>
        <w:rPr>
          <w:rFonts w:ascii="Times New Roman;Times;Serif" w:hAnsi="Times New Roman;Times;Serif"/>
          <w:b w:val="false"/>
          <w:i w:val="false"/>
          <w:caps w:val="false"/>
          <w:smallCaps w:val="false"/>
          <w:sz w:val="20"/>
        </w:rPr>
        <w:t>”) based on the date of payment of the amount due with respect to the relevant Affected Number of Options (the “</w:t>
      </w:r>
      <w:r>
        <w:rPr>
          <w:rFonts w:ascii="Times New Roman;Times;Serif" w:hAnsi="Times New Roman;Times;Serif"/>
          <w:b/>
          <w:i w:val="false"/>
          <w:caps w:val="false"/>
          <w:smallCaps w:val="false"/>
          <w:sz w:val="20"/>
        </w:rPr>
        <w:t>Affected Unwind Date</w:t>
      </w:r>
      <w:r>
        <w:rPr>
          <w:rFonts w:ascii="Times New Roman;Times;Serif" w:hAnsi="Times New Roman;Times;Serif"/>
          <w:b w:val="false"/>
          <w:i w:val="false"/>
          <w:caps w:val="false"/>
          <w:smallCaps w:val="false"/>
          <w:sz w:val="20"/>
        </w:rPr>
        <w:t>”).  If the Affected Unwind Date is not listed in the Synthetic Instrument AIP Table, the amount in the preceding sentence shall be determined by the Calculation Agent by reference to the Synthetic Instrument AIP Table using a linear interpolation between the lower and higher Synthetic Instrument Adjusted Issue Prices per Convertible Note for the dates immediately preceding and immediately following the Affected Unwind Date. For the avoidance of doubt, any payment pursuant to this paragraph shall be subject to Section 9(l) of the Confirmation;</w:t>
      </w:r>
    </w:p>
    <w:p>
      <w:pPr>
        <w:pStyle w:val="TextBody"/>
        <w:bidi w:val="0"/>
        <w:spacing w:before="0" w:after="0"/>
        <w:ind w:left="2880" w:right="0" w:hanging="0"/>
        <w:jc w:val="both"/>
        <w:rPr>
          <w:caps w:val="false"/>
          <w:smallCaps w:val="false"/>
        </w:rPr>
      </w:pPr>
      <w:r>
        <w:rPr>
          <w:caps w:val="false"/>
          <w:smallCaps w:val="false"/>
        </w:rPr>
        <w:t> </w:t>
      </w:r>
    </w:p>
    <w:tbl>
      <w:tblPr>
        <w:tblW w:w="5710" w:type="dxa"/>
        <w:jc w:val="left"/>
        <w:tblInd w:w="-10" w:type="dxa"/>
        <w:tblLayout w:type="fixed"/>
        <w:tblCellMar>
          <w:top w:w="28" w:type="dxa"/>
          <w:left w:w="28" w:type="dxa"/>
          <w:bottom w:w="28" w:type="dxa"/>
          <w:right w:w="28" w:type="dxa"/>
        </w:tblCellMar>
      </w:tblPr>
      <w:tblGrid>
        <w:gridCol w:w="2375"/>
        <w:gridCol w:w="3335"/>
      </w:tblGrid>
      <w:tr>
        <w:trPr/>
        <w:tc>
          <w:tcPr>
            <w:tcW w:w="2375" w:type="dxa"/>
            <w:tcBorders>
              <w:top w:val="single" w:sz="8" w:space="0" w:color="000000"/>
              <w:left w:val="single" w:sz="8" w:space="0" w:color="000000"/>
              <w:bottom w:val="single" w:sz="8" w:space="0" w:color="000000"/>
              <w:right w:val="single" w:sz="8" w:space="0" w:color="000000"/>
            </w:tcBorders>
            <w:shd w:fill="DBDBDB" w:val="clear"/>
            <w:vAlign w:val="center"/>
          </w:tcPr>
          <w:p>
            <w:pPr>
              <w:pStyle w:val="TableContents"/>
              <w:bidi w:val="0"/>
              <w:spacing w:before="0" w:after="283"/>
              <w:jc w:val="center"/>
              <w:rPr>
                <w:b/>
              </w:rPr>
            </w:pPr>
            <w:r>
              <w:rPr>
                <w:b/>
              </w:rPr>
              <w:t>Affected Unwind Date</w:t>
            </w:r>
          </w:p>
        </w:tc>
        <w:tc>
          <w:tcPr>
            <w:tcW w:w="3335" w:type="dxa"/>
            <w:tcBorders>
              <w:top w:val="single" w:sz="8" w:space="0" w:color="000000"/>
              <w:bottom w:val="single" w:sz="8" w:space="0" w:color="000000"/>
              <w:right w:val="single" w:sz="8" w:space="0" w:color="000000"/>
            </w:tcBorders>
            <w:shd w:fill="DBDBDB" w:val="clear"/>
            <w:tcMar>
              <w:left w:w="0" w:type="dxa"/>
            </w:tcMar>
            <w:vAlign w:val="center"/>
          </w:tcPr>
          <w:p>
            <w:pPr>
              <w:pStyle w:val="TableContents"/>
              <w:bidi w:val="0"/>
              <w:spacing w:before="0" w:after="283"/>
              <w:jc w:val="center"/>
              <w:rPr>
                <w:b/>
              </w:rPr>
            </w:pPr>
            <w:r>
              <w:rPr>
                <w:b/>
              </w:rPr>
              <w:t xml:space="preserve">Synthetic Instrument Adjusted </w:t>
              <w:br/>
              <w:t>Issue Price per Convertible Note</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August [_______], 2024</w:t>
            </w:r>
          </w:p>
        </w:tc>
        <w:tc>
          <w:tcPr>
            <w:tcW w:w="33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USD [_______]</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March 1, 2025</w:t>
            </w:r>
          </w:p>
        </w:tc>
        <w:tc>
          <w:tcPr>
            <w:tcW w:w="33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USD [_______]</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September 1, 2025</w:t>
            </w:r>
          </w:p>
        </w:tc>
        <w:tc>
          <w:tcPr>
            <w:tcW w:w="33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USD [_______]</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March 1, 2026</w:t>
            </w:r>
          </w:p>
        </w:tc>
        <w:tc>
          <w:tcPr>
            <w:tcW w:w="33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USD [_______]</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September 1, 2026</w:t>
            </w:r>
          </w:p>
        </w:tc>
        <w:tc>
          <w:tcPr>
            <w:tcW w:w="33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USD [_______]</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March 1, 2027</w:t>
            </w:r>
          </w:p>
        </w:tc>
        <w:tc>
          <w:tcPr>
            <w:tcW w:w="33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USD [_______]</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September 1, 2027</w:t>
            </w:r>
          </w:p>
        </w:tc>
        <w:tc>
          <w:tcPr>
            <w:tcW w:w="33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USD [_______]</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March 1, 2028</w:t>
            </w:r>
          </w:p>
        </w:tc>
        <w:tc>
          <w:tcPr>
            <w:tcW w:w="33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USD [_______]</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September 1, 2028</w:t>
            </w:r>
          </w:p>
        </w:tc>
        <w:tc>
          <w:tcPr>
            <w:tcW w:w="33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USD [_______]</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March 1, 2029</w:t>
            </w:r>
          </w:p>
        </w:tc>
        <w:tc>
          <w:tcPr>
            <w:tcW w:w="33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USD [_______]</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September 1, 2029</w:t>
            </w:r>
          </w:p>
        </w:tc>
        <w:tc>
          <w:tcPr>
            <w:tcW w:w="33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USD 1,000</w:t>
            </w:r>
          </w:p>
        </w:tc>
      </w:tr>
    </w:tbl>
    <w:p>
      <w:pPr>
        <w:pStyle w:val="TextBody"/>
        <w:bidi w:val="0"/>
        <w:spacing w:before="0" w:after="283"/>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(E)</w:t>
            </w:r>
          </w:p>
        </w:tc>
        <w:tc>
          <w:tcPr>
            <w:tcW w:w="9910" w:type="dxa"/>
            <w:tcBorders/>
            <w:vAlign w:val="center"/>
          </w:tcPr>
          <w:p>
            <w:pPr>
              <w:pStyle w:val="TableContents"/>
              <w:bidi w:val="0"/>
              <w:spacing w:before="0" w:after="283"/>
              <w:jc w:val="both"/>
              <w:rPr/>
            </w:pPr>
            <w:r>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b w:val="false"/>
              </w:rPr>
            </w:pPr>
            <w:r>
              <w:rPr>
                <w:b w:val="false"/>
              </w:rPr>
              <w:t>(F)</w:t>
            </w:r>
          </w:p>
        </w:tc>
        <w:tc>
          <w:tcPr>
            <w:tcW w:w="9906" w:type="dxa"/>
            <w:tcBorders/>
            <w:vAlign w:val="center"/>
          </w:tcPr>
          <w:p>
            <w:pPr>
              <w:pStyle w:val="TableContents"/>
              <w:bidi w:val="0"/>
              <w:spacing w:before="0" w:after="283"/>
              <w:jc w:val="both"/>
              <w:rPr/>
            </w:pPr>
            <w:r>
              <w:rPr/>
              <w:t>the Transaction shall remain in full force and effect, except that, as of the “Conversion Date” (as defined in the Indenture) for such Early Conversion, the Number of Options shall be reduced by the Affected Number of Options</w:t>
            </w:r>
            <w:r>
              <w:rPr>
                <w:b/>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(ii)</w:t>
            </w:r>
          </w:p>
        </w:tc>
        <w:tc>
          <w:tcPr>
            <w:tcW w:w="9944" w:type="dxa"/>
            <w:tcBorders/>
            <w:vAlign w:val="center"/>
          </w:tcPr>
          <w:p>
            <w:pPr>
              <w:pStyle w:val="TableContents"/>
              <w:bidi w:val="0"/>
              <w:spacing w:before="0" w:after="283"/>
              <w:jc w:val="both"/>
              <w:rPr/>
            </w:pPr>
            <w:r>
              <w:rPr/>
              <w:t>Notwithstanding anything to the contrary in this Confirmation if an event of default with respect to Counterparty occurs under the terms of the Convertible Notes as set forth in Section [   ]</w:t>
            </w:r>
            <w:r>
              <w:rPr>
                <w:position w:val="8"/>
                <w:sz w:val="19"/>
              </w:rPr>
              <w:t>47</w:t>
            </w:r>
            <w:r>
              <w:rPr/>
              <w:t xml:space="preserve"> of the Indenture and the Convertible Notes are declared due and payable as a result thereof, then such acceleration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2377"/>
        <w:gridCol w:w="7571"/>
      </w:tblGrid>
      <w:tr>
        <w:trPr/>
        <w:tc>
          <w:tcPr>
            <w:tcW w:w="257"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pPr>
            <w:r>
              <w:rPr/>
              <w:t>(iii)</w:t>
            </w:r>
          </w:p>
        </w:tc>
        <w:tc>
          <w:tcPr>
            <w:tcW w:w="7571" w:type="dxa"/>
            <w:tcBorders/>
            <w:vAlign w:val="center"/>
          </w:tcPr>
          <w:p>
            <w:pPr>
              <w:pStyle w:val="TableContents"/>
              <w:bidi w:val="0"/>
              <w:spacing w:before="0" w:after="283"/>
              <w:jc w:val="both"/>
              <w:rPr/>
            </w:pPr>
            <w:r>
              <w:rPr/>
              <w:t>[</w:t>
            </w:r>
            <w:r>
              <w:rPr>
                <w:i/>
                <w:u w:val="single"/>
              </w:rPr>
              <w:t>Reserved</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(iv)</w:t>
            </w:r>
          </w:p>
        </w:tc>
        <w:tc>
          <w:tcPr>
            <w:tcW w:w="9892" w:type="dxa"/>
            <w:tcBorders/>
            <w:vAlign w:val="center"/>
          </w:tcPr>
          <w:p>
            <w:pPr>
              <w:pStyle w:val="TableContents"/>
              <w:bidi w:val="0"/>
              <w:spacing w:before="0" w:after="283"/>
              <w:jc w:val="both"/>
              <w:rPr/>
            </w:pPr>
            <w:r>
              <w:rPr/>
              <w:t>Within ten Scheduled Trading Days following any Repayment Event (as defined below), Counterparty (i) shall (solely to the extent that such Repayment Event results directly from a “Fundamental Change” (as defined in the Indenture) or pursuant to a “Redemption” (as defined in the Indenture)), and (ii) otherwise may, but shall not be obligated to, notify Dealer of such Repayment Event and the aggregate principal amount of Convertible Notes subject to such Repayment Event (any such notice, a “</w:t>
            </w:r>
            <w:r>
              <w:rPr>
                <w:b/>
              </w:rPr>
              <w:t>Repayment Notice</w:t>
            </w:r>
            <w:r>
              <w:rPr/>
              <w:t xml:space="preserve">”); </w:t>
            </w:r>
            <w:r>
              <w:rPr>
                <w:i/>
              </w:rPr>
              <w:t>provided</w:t>
            </w:r>
            <w:r>
              <w:rPr/>
              <w:t xml:space="preserve"> that in the case of (ii) only, such Repayment Notice shall contain the representation and warranty that Counterparty is not, on the date thereof, aware of any material non-public information with respect to Counterparty or the Shares[; </w:t>
            </w:r>
            <w:r>
              <w:rPr>
                <w:i/>
              </w:rPr>
              <w:t>provided, further</w:t>
            </w:r>
            <w:r>
              <w:rPr/>
              <w:t xml:space="preserve">, that, any “Repayment Notice” delivered to Dealer pursuant to the Base Call Option Confirmation shall be deemed to be a Repayment Notice pursuant to this Confirmation and the terms of such Repayment Notice shall apply, </w:t>
            </w:r>
            <w:r>
              <w:rPr>
                <w:i/>
              </w:rPr>
              <w:t>mutatis mutandis</w:t>
            </w:r>
            <w:r>
              <w:rPr/>
              <w:t>, to this Confirmation]</w:t>
            </w:r>
            <w:r>
              <w:rPr>
                <w:position w:val="8"/>
                <w:sz w:val="19"/>
              </w:rPr>
              <w:t>48</w:t>
            </w:r>
            <w:r>
              <w:rPr/>
              <w:t>. The receipt by Dealer from Counterparty of any Repayment Notice, within the applicable time period set forth in the preceding sentence, shall constitute an Additional Termination Event as provided in this paragraph, it being understood that no Repayment Event shall constitute an Additional Termination Event hereunder unless Dealer has so received such Repayment Notice. Upon receipt of any such Repayment Notice, Dealer shall designate an Exchange Business Day following receipt of such Repayment Notice (which in no event shall be earlier than the date on which the relevant Repayment Event occurs or is consummated) as an Early Termination Date with respect to the portion of the Transaction corresponding to a number of Options (the “</w:t>
            </w:r>
            <w:r>
              <w:rPr>
                <w:b/>
              </w:rPr>
              <w:t>Repayment Options</w:t>
            </w:r>
            <w:r>
              <w:rPr/>
              <w:t xml:space="preserve">”) equal to the lesser of (A) [(x)] the aggregate principal amount of such Convertible Notes specified in such Repayment Notice, </w:t>
            </w:r>
            <w:r>
              <w:rPr>
                <w:i/>
              </w:rPr>
              <w:t>divided by</w:t>
            </w:r>
            <w:r>
              <w:rPr/>
              <w:t xml:space="preserve"> USD 1,000, [</w:t>
            </w:r>
            <w:r>
              <w:rPr>
                <w:i/>
              </w:rPr>
              <w:t xml:space="preserve">minus </w:t>
            </w:r>
            <w:r>
              <w:rPr/>
              <w:t>(y) the number of “Repayment Options” (as defined in the Base Call Option Confirmation), if any, that relate to such Convertible Notes (and for the purposes of determining whether any Options under this Confirmation or under the Base Call Option Confirmation will be among the Repayment Options hereunder or under, and as defined in, the Base Call Option Confirmation, the Convertible Notes specified in such Repayment Notice shall be allocated first to the Base Call Option Confirmation until all Options thereunder are exercised or terminated)]</w:t>
            </w:r>
            <w:r>
              <w:rPr>
                <w:position w:val="8"/>
                <w:sz w:val="19"/>
              </w:rPr>
              <w:t>49</w:t>
            </w:r>
            <w:r>
              <w:rPr>
                <w:sz w:val="24"/>
              </w:rPr>
              <w:t xml:space="preserve">, </w:t>
            </w:r>
            <w:r>
              <w:rPr/>
              <w:t>and (B) the Number of Options as of the date Dealer designates such Early Termination Date and, as of such date, the Number of Options shall be reduced by the number of Repayment Options. Any payment hereunder with respect to such termination (the “</w:t>
            </w:r>
            <w:r>
              <w:rPr>
                <w:b/>
              </w:rPr>
              <w:t>Repayment Unwind Payment</w:t>
            </w:r>
            <w:r>
              <w:rPr/>
              <w:t xml:space="preserve">”)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w:t>
            </w:r>
            <w:r>
              <w:rPr>
                <w:i/>
              </w:rPr>
              <w:t>provided</w:t>
            </w:r>
            <w:r>
              <w:rPr/>
              <w:t xml:space="preserve"> that in the event of a Repayment Event resulting directly from a “Fundamental Change” (as defined in the Indenture) or pursuant to a “Redemption” (as defined in the Indenture), the Repayment Unwind Payment shall not be greater than (x) the number of Repayment Options, multiplied by (y) the product of (A) the Applicable Percentage and (B)(I) the</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47</w:t>
      </w:r>
      <w:r>
        <w:rPr>
          <w:rFonts w:ascii="Times New Roman;Times;Serif" w:hAnsi="Times New Roman;Times;Serif"/>
          <w:b w:val="false"/>
          <w:i w:val="false"/>
          <w:caps w:val="false"/>
          <w:smallCaps w:val="false"/>
          <w:sz w:val="20"/>
        </w:rPr>
        <w:t xml:space="preserve"> Include cross-reference to the Indenture section containing events of default.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48</w:t>
      </w:r>
      <w:r>
        <w:rPr>
          <w:rFonts w:ascii="Times New Roman;Times;Serif" w:hAnsi="Times New Roman;Times;Serif"/>
          <w:b w:val="false"/>
          <w:i w:val="false"/>
          <w:caps w:val="false"/>
          <w:smallCaps w:val="false"/>
          <w:sz w:val="20"/>
        </w:rPr>
        <w:t xml:space="preserve"> Insert for Additional Call Option Confirmation.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49</w:t>
      </w:r>
      <w:r>
        <w:rPr>
          <w:rFonts w:ascii="Times New Roman;Times;Serif" w:hAnsi="Times New Roman;Times;Serif"/>
          <w:b w:val="false"/>
          <w:i w:val="false"/>
          <w:caps w:val="false"/>
          <w:smallCaps w:val="false"/>
          <w:sz w:val="20"/>
        </w:rPr>
        <w:t xml:space="preserve"> Insert for Additional Call Option Confirmation.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 paid by Counterparty per Convertible Note in connection with the relevant Repayment Event pursuant to the relevant section of the Indenture,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the Synthetic Instrument Adjusted Issue Price per Convertible Note determined by the Calculation Agent by reference to the Synthetic Instrument AIP Table based on the date of payment of the relevant amount (the “</w:t>
      </w:r>
      <w:r>
        <w:rPr>
          <w:rFonts w:ascii="Times New Roman;Times;Serif" w:hAnsi="Times New Roman;Times;Serif"/>
          <w:b/>
          <w:i w:val="false"/>
          <w:caps w:val="false"/>
          <w:smallCaps w:val="false"/>
          <w:sz w:val="20"/>
        </w:rPr>
        <w:t>Repayment Date</w:t>
      </w:r>
      <w:r>
        <w:rPr>
          <w:rFonts w:ascii="Times New Roman;Times;Serif" w:hAnsi="Times New Roman;Times;Serif"/>
          <w:b w:val="false"/>
          <w:i w:val="false"/>
          <w:caps w:val="false"/>
          <w:smallCaps w:val="false"/>
          <w:sz w:val="20"/>
        </w:rPr>
        <w:t xml:space="preserve">”) as if such Repayment Date were the Affected Unwind Date. If the relevant Repayment Date is not listed in the Synthetic Instrument AIP Table, the amount in the preceding sentence shall be determined by the Calculation Agent by reference to the Synthetic Instrument AIP Table using a linear interpolation between the lower and higher Synthetic Instrument Adjusted Issue Prices per Convertible Note for the dates immediately preceding and immediately following the relevant Repayment Date. For the avoidance of doubt, solely for purposes of calculating the Repayment Unwind Payment, Dealer shall assume that (x) the relevant Repayment Event (and, if applicable, the related “Fundamental Change” (as defined in the Indenture) and the announcement of such “Fundamental Change” (as defined in the Indenture)) had not occurred, </w:t>
      </w:r>
      <w:r>
        <w:rPr>
          <w:rFonts w:ascii="Times New Roman;Times;Serif" w:hAnsi="Times New Roman;Times;Serif"/>
          <w:b/>
          <w:i w:val="false"/>
          <w:caps w:val="false"/>
          <w:smallCaps w:val="false"/>
          <w:sz w:val="20"/>
        </w:rPr>
        <w:t>(y) no adjustments to the Conversion Rate have occurred pursuant to any Excluded Provision and (z) the corresponding Convertible Notes remain outstanding</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Repayment Event</w:t>
      </w:r>
      <w:r>
        <w:rPr>
          <w:rFonts w:ascii="Times New Roman;Times;Serif" w:hAnsi="Times New Roman;Times;Serif"/>
          <w:b w:val="false"/>
          <w:i w:val="false"/>
          <w:caps w:val="false"/>
          <w:smallCaps w:val="false"/>
          <w:sz w:val="20"/>
        </w:rPr>
        <w:t>” means that (i) any Convertible Notes are repurchased and cancelled in accordance with the Indenture (whether in connection with or as a result of a “Fundamental Change” (as defined in the Indenture), upon redemption or for any other reason) by Counterparty or any of its subsidiaries, (ii) any Convertible Notes are delivered to Counterparty or any of its subsidiaries in exchange for delivery of any property or assets of such party (howsoever described), (iii) any principal of any of the Convertible Notes is repaid prior to the final maturity date of the Convertible Notes (for any reason other than as a result of an acceleration of the Convertible Notes that results in an Additional Termination Event pursuant to the preceding Section 9(i)(ii)), or (iv) any Convertible Notes are exchanged by or for the benefit of the holders thereof for any other securities of Counterparty or any of its subsidiaries (or any other property, or any combination thereof) pursuant to any exchange offer or similar transaction. For the avoidance of doubt, any conversion of Convertible Notes (whether into cash, Shares, reference property or any combination thereof) pursuant to the terms of the Indenture shall not constitute a Repayment Event. Counterparty acknowledges its responsibilities under applicable securities laws, including, in particular, Sections 9 and 10(b) of the Exchange Act and the rules and regulations thereunder in respect of the Repayment Event, including, without limitation, the delivery of a Repayment Notice pursuant to clause (i) of the first sentence of this Section 9(i)(iv).</w:t>
      </w:r>
    </w:p>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(v)</w:t>
            </w:r>
          </w:p>
        </w:tc>
        <w:tc>
          <w:tcPr>
            <w:tcW w:w="9947" w:type="dxa"/>
            <w:tcBorders/>
            <w:vAlign w:val="center"/>
          </w:tcPr>
          <w:p>
            <w:pPr>
              <w:pStyle w:val="TableContents"/>
              <w:bidi w:val="0"/>
              <w:spacing w:before="0" w:after="283"/>
              <w:jc w:val="both"/>
              <w:rPr/>
            </w:pPr>
            <w:r>
              <w:rPr/>
              <w:t>The following shall be an Additional Termination Event with respect to which Counterparty shall be the sole Affected Party and the Transaction shall be the sole Affected Transaction: The Credit Agreement dated as of November 19, 2021, by and among, among others, Counterparty, as Borrower, Truist Bank, as Administrative Agent, and certain lenders from time to time party thereto (as amended by that certain Amendment No. 1 to Credit Agreement, dated as of July 3, 2023, by and among Counterparty, as Borrower and Truist Bank as Administrative Agent and as may be further amended or otherwise modified from time to time, the “</w:t>
            </w:r>
            <w:r>
              <w:rPr>
                <w:b/>
              </w:rPr>
              <w:t>Credit Agreement</w:t>
            </w:r>
            <w:r>
              <w:rPr/>
              <w:t>”) is not repaid in full and terminated on or prior to the Premium Payment Date. The parties hereto agree and acknowledge that Dealer shall disregard clause (x) of Section 9(bb) of this Confirmation when determining the Early Termination Amount payable in connection with an Additional Termination Event pursuant to this clause (v).</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651"/>
        <w:gridCol w:w="9447"/>
      </w:tblGrid>
      <w:tr>
        <w:trPr/>
        <w:tc>
          <w:tcPr>
            <w:tcW w:w="10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pPr>
            <w:r>
              <w:rPr/>
              <w:t>(j)</w:t>
            </w:r>
          </w:p>
        </w:tc>
        <w:tc>
          <w:tcPr>
            <w:tcW w:w="9447" w:type="dxa"/>
            <w:tcBorders/>
            <w:vAlign w:val="center"/>
          </w:tcPr>
          <w:p>
            <w:pPr>
              <w:pStyle w:val="TableContents"/>
              <w:bidi w:val="0"/>
              <w:spacing w:before="0" w:after="283"/>
              <w:jc w:val="both"/>
              <w:rPr/>
            </w:pPr>
            <w:r>
              <w:rPr>
                <w:i/>
                <w:u w:val="single"/>
              </w:rPr>
              <w:t>Amendments to Equity Definitions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both"/>
              <w:rPr/>
            </w:pPr>
            <w:r>
              <w:rPr/>
              <w:t xml:space="preserve">Section 11.2(e)(vii) of the Equity Definitions is hereby amended by deleting the words “that may have a diluting or concentrative effect on the theoretical value of the relevant Shares” and replacing them with the words “that is the result of a corporate event involving the Issuer or its securities that has, in the commercially reasonable judgment of the Calculation Agent, a material economic effect on the Shares or the Options; </w:t>
            </w:r>
            <w:r>
              <w:rPr>
                <w:i/>
              </w:rPr>
              <w:t>provided</w:t>
            </w:r>
            <w:r>
              <w:rPr/>
              <w:t xml:space="preserve"> that such event is not based on (a) an observable market, other than the market for the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(b) an observable index, other than an index calculated or measured solely by reference to the Issuer’s own operations.”</w:t>
      </w:r>
    </w:p>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40" w:type="dxa"/>
            <w:tcBorders/>
            <w:vAlign w:val="center"/>
          </w:tcPr>
          <w:p>
            <w:pPr>
              <w:pStyle w:val="TableContents"/>
              <w:bidi w:val="0"/>
              <w:spacing w:before="0" w:after="283"/>
              <w:jc w:val="both"/>
              <w:rPr/>
            </w:pPr>
            <w:r>
              <w:rPr/>
              <w:t xml:space="preserve">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 </w:t>
            </w:r>
            <w:r>
              <w:rPr>
                <w:i/>
              </w:rPr>
              <w:t>provided</w:t>
            </w:r>
            <w:r>
              <w:rPr/>
              <w:t xml:space="preserve"> that the period for dismissal, discharge, stay or restraint therein shall be increased from within 15 days to within 30 days.”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(iii)</w:t>
            </w:r>
          </w:p>
        </w:tc>
        <w:tc>
          <w:tcPr>
            <w:tcW w:w="9863" w:type="dxa"/>
            <w:tcBorders/>
            <w:vAlign w:val="center"/>
          </w:tcPr>
          <w:p>
            <w:pPr>
              <w:pStyle w:val="TableContents"/>
              <w:bidi w:val="0"/>
              <w:spacing w:before="0" w:after="283"/>
              <w:jc w:val="both"/>
              <w:rPr/>
            </w:pPr>
            <w:r>
              <w:rPr/>
              <w:t>Section 12.9(b)(i) of the Equity Definitions is hereby amended by (1) replacing “either party may elect” with “Dealer may elect” and (2) replacing “notice to the other party” with “notice to Counterparty” in the first sentence of such section.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(iv)</w:t>
            </w:r>
          </w:p>
        </w:tc>
        <w:tc>
          <w:tcPr>
            <w:tcW w:w="9878" w:type="dxa"/>
            <w:tcBorders/>
            <w:vAlign w:val="center"/>
          </w:tcPr>
          <w:p>
            <w:pPr>
              <w:pStyle w:val="TableContents"/>
              <w:bidi w:val="0"/>
              <w:spacing w:before="0" w:after="283"/>
              <w:jc w:val="both"/>
              <w:rPr/>
            </w:pPr>
            <w:r>
              <w:rPr/>
              <w:t>The parties hereto agree and acknowledge than any transaction or event that would have been (x) a Transformative Transaction if the Transformative Transaction Percentage were less than 35% or (y) a Tender Offer if the Tender Offer Percentage were less than 25%, as the case may be, shall not constitute a Potential Adjustment Event (as such term is defined in the Equity Definitions) as set forth in Section 11.2(e)(vii) of the Equity Definitions.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(v)</w:t>
            </w:r>
          </w:p>
        </w:tc>
        <w:tc>
          <w:tcPr>
            <w:tcW w:w="9948" w:type="dxa"/>
            <w:tcBorders/>
            <w:vAlign w:val="center"/>
          </w:tcPr>
          <w:p>
            <w:pPr>
              <w:pStyle w:val="TableContents"/>
              <w:bidi w:val="0"/>
              <w:spacing w:before="0" w:after="283"/>
              <w:jc w:val="both"/>
              <w:rPr/>
            </w:pPr>
            <w:r>
              <w:rPr/>
              <w:t>The parties hereto agree and acknowledge than any Exempted Repurchase shall not constitute a Potential Adjustment Event or Tender Offer (as each such term is defined in the Equity Definitions). “</w:t>
            </w:r>
            <w:r>
              <w:rPr>
                <w:b/>
              </w:rPr>
              <w:t>Exempted Repurchase</w:t>
            </w:r>
            <w:r>
              <w:rPr/>
              <w:t>” means any (1) open market Share repurchase at prevailing market prices (including, without limitation, any discount to average VWAP prices), (2) Share repurchase through a dealer pursuant to accelerated share repurchases, forward contracts or similar transactions that is entered into at prevailing market prices (including, without limitation, any discount to average VWAP prices) and in accordance with customary market terms for transactions of such type to repurchase the Shares, (3) any reacquisition of Shares pursuant to Counterparty’s employee incentive plans in connection with the related equity transactions, or Counterparty’s withholding of Shares to cover tax liabilities associated with such equity transactions, so long as, in the case of each of clause (1) and clause (2), such repurchase or transaction would not reduce the number of total Shares outstanding to be less than [___]</w:t>
            </w:r>
            <w:r>
              <w:rPr>
                <w:position w:val="8"/>
                <w:sz w:val="19"/>
              </w:rPr>
              <w:t>50</w:t>
            </w:r>
            <w:r>
              <w:rPr/>
              <w:t xml:space="preserve"> Shares, as determined by Calculation Agent and as adjusted by the Calculation Agent to account for any event described in Section 11.2(e)(i), Section 11.2(e)(ii)(A) or Section 11.2(E)(ii)(B) of the Equity Definitions.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(k)</w:t>
            </w:r>
          </w:p>
        </w:tc>
        <w:tc>
          <w:tcPr>
            <w:tcW w:w="9937" w:type="dxa"/>
            <w:tcBorders/>
            <w:vAlign w:val="center"/>
          </w:tcPr>
          <w:p>
            <w:pPr>
              <w:pStyle w:val="TableContents"/>
              <w:bidi w:val="0"/>
              <w:spacing w:before="0" w:after="283"/>
              <w:jc w:val="both"/>
              <w:rPr/>
            </w:pPr>
            <w:r>
              <w:rPr>
                <w:i/>
                <w:u w:val="single"/>
              </w:rPr>
              <w:t>Setoff.</w:t>
            </w:r>
            <w:r>
              <w:rPr/>
              <w:t xml:space="preserve"> Notwithstanding any provision of the Agreement and this Confirmation (including without limitation this Section 9(k)) or any other agreement between the parties to the contrary, each party waives any and all rights it may have to set off obligations arising under the Agreement and the Transaction against other obligations between the parties, whether arising under any other agreement, applicable law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(l)</w:t>
            </w:r>
          </w:p>
        </w:tc>
        <w:tc>
          <w:tcPr>
            <w:tcW w:w="10006" w:type="dxa"/>
            <w:tcBorders/>
            <w:vAlign w:val="center"/>
          </w:tcPr>
          <w:p>
            <w:pPr>
              <w:pStyle w:val="TableContents"/>
              <w:bidi w:val="0"/>
              <w:spacing w:before="0" w:after="283"/>
              <w:jc w:val="both"/>
              <w:rPr/>
            </w:pPr>
            <w:r>
              <w:rPr>
                <w:i/>
                <w:u w:val="single"/>
              </w:rPr>
              <w:t>Alternative Calculations and Payment on Early Termination and on Certain Extraordinary Events</w:t>
            </w:r>
            <w:r>
              <w:rPr/>
              <w:t>. If (a) an Early Termination Date (whether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an Announcement Event, Merger Event or Tender Offer that is within Counterparty’s control, or (iii) an Event of Default in which Counterparty is the Defaulting Party or a Termination Event in which Counterparty is the sole Affected Party other than an Event of Default of the type described in Section 5(a)(iii), (v), (vi), (vii) or (viii) of the Agreement or a Termination Event of the type described in Section 5(b) of the Agreement, in each case that resulted from an</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50</w:t>
      </w:r>
      <w:r>
        <w:rPr>
          <w:rFonts w:ascii="Times New Roman;Times;Serif" w:hAnsi="Times New Roman;Times;Serif"/>
          <w:b w:val="false"/>
          <w:i w:val="false"/>
          <w:caps w:val="false"/>
          <w:smallCaps w:val="false"/>
          <w:sz w:val="20"/>
        </w:rPr>
        <w:t xml:space="preserve"> Insert number of Shares equal to 90% of total Shares outstanding as of the Trade Date for the Base Capped Call Confirmations.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or events outside Counterparty’s control), and if Dealer would owe any amount to Counterparty pursuant to Section 6(d)(ii) of the Agreement or any Cancellation Amount pursuant to Article 12 of the Equity Definitions (any such amount,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of its election that the Share Termination Alternative shall not apply and (b) Counterparty remakes the representation set forth in Section ‎8(f) of this Confirmation as of the date of such election, in which case the provisions of Section 12.7 or Section 12.9 of the Equity Definitions, or the provisions of Section 6(d)(ii) of the Agreement, as the case may be, shall apply.</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4"/>
        <w:gridCol w:w="8626"/>
      </w:tblGrid>
      <w:tr>
        <w:trPr/>
        <w:tc>
          <w:tcPr>
            <w:tcW w:w="75" w:type="dxa"/>
            <w:tcBorders/>
            <w:vAlign w:val="center"/>
          </w:tcPr>
          <w:p>
            <w:pPr>
              <w:pStyle w:val="TableContents"/>
              <w:bidi w:val="0"/>
              <w:spacing w:before="0" w:after="283"/>
              <w:ind w:left="0" w:right="0" w:hanging="0"/>
              <w:jc w:val="left"/>
              <w:rPr/>
            </w:pPr>
            <w:r>
              <w:rPr/>
              <w:t> </w:t>
            </w:r>
          </w:p>
        </w:tc>
        <w:tc>
          <w:tcPr>
            <w:tcW w:w="1504" w:type="dxa"/>
            <w:tcBorders/>
            <w:vAlign w:val="center"/>
          </w:tcPr>
          <w:p>
            <w:pPr>
              <w:pStyle w:val="TableContents"/>
              <w:bidi w:val="0"/>
              <w:spacing w:before="0" w:after="283"/>
              <w:ind w:left="0" w:right="0" w:hanging="0"/>
              <w:jc w:val="both"/>
              <w:rPr/>
            </w:pPr>
            <w:r>
              <w:rPr/>
              <w:t>Share Termination Alternative:</w:t>
            </w:r>
          </w:p>
        </w:tc>
        <w:tc>
          <w:tcPr>
            <w:tcW w:w="8626" w:type="dxa"/>
            <w:tcBorders/>
            <w:vAlign w:val="center"/>
          </w:tcPr>
          <w:p>
            <w:pPr>
              <w:pStyle w:val="TableContents"/>
              <w:bidi w:val="0"/>
              <w:spacing w:before="0" w:after="283"/>
              <w:jc w:val="both"/>
              <w:rPr/>
            </w:pPr>
            <w:r>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tc>
      </w:tr>
      <w:tr>
        <w:trPr/>
        <w:tc>
          <w:tcPr>
            <w:tcW w:w="75" w:type="dxa"/>
            <w:tcBorders/>
            <w:vAlign w:val="center"/>
          </w:tcPr>
          <w:p>
            <w:pPr>
              <w:pStyle w:val="TableContents"/>
              <w:bidi w:val="0"/>
              <w:spacing w:before="0" w:after="283"/>
              <w:ind w:left="0" w:right="0" w:hanging="0"/>
              <w:jc w:val="left"/>
              <w:rPr/>
            </w:pPr>
            <w:r>
              <w:rPr/>
              <w:t> </w:t>
            </w:r>
          </w:p>
        </w:tc>
        <w:tc>
          <w:tcPr>
            <w:tcW w:w="1504" w:type="dxa"/>
            <w:tcBorders/>
            <w:vAlign w:val="center"/>
          </w:tcPr>
          <w:p>
            <w:pPr>
              <w:pStyle w:val="TableContents"/>
              <w:bidi w:val="0"/>
              <w:spacing w:before="0" w:after="283"/>
              <w:ind w:left="0" w:right="0" w:hanging="0"/>
              <w:jc w:val="both"/>
              <w:rPr/>
            </w:pPr>
            <w:r>
              <w:rPr/>
              <w:t>Share Termination Delivery Property:</w:t>
            </w:r>
          </w:p>
        </w:tc>
        <w:tc>
          <w:tcPr>
            <w:tcW w:w="8626" w:type="dxa"/>
            <w:tcBorders/>
            <w:vAlign w:val="center"/>
          </w:tcPr>
          <w:p>
            <w:pPr>
              <w:pStyle w:val="TableContents"/>
              <w:bidi w:val="0"/>
              <w:spacing w:before="0" w:after="283"/>
              <w:jc w:val="both"/>
              <w:rPr/>
            </w:pPr>
            <w:r>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  </w:t>
            </w:r>
          </w:p>
        </w:tc>
      </w:tr>
      <w:tr>
        <w:trPr/>
        <w:tc>
          <w:tcPr>
            <w:tcW w:w="75" w:type="dxa"/>
            <w:tcBorders/>
            <w:vAlign w:val="center"/>
          </w:tcPr>
          <w:p>
            <w:pPr>
              <w:pStyle w:val="TableContents"/>
              <w:bidi w:val="0"/>
              <w:spacing w:before="0" w:after="283"/>
              <w:ind w:left="0" w:right="0" w:hanging="0"/>
              <w:jc w:val="left"/>
              <w:rPr/>
            </w:pPr>
            <w:r>
              <w:rPr/>
              <w:t> </w:t>
            </w:r>
          </w:p>
        </w:tc>
        <w:tc>
          <w:tcPr>
            <w:tcW w:w="1504" w:type="dxa"/>
            <w:tcBorders/>
            <w:vAlign w:val="center"/>
          </w:tcPr>
          <w:p>
            <w:pPr>
              <w:pStyle w:val="TableContents"/>
              <w:bidi w:val="0"/>
              <w:spacing w:before="0" w:after="283"/>
              <w:ind w:left="0" w:right="0" w:hanging="0"/>
              <w:jc w:val="both"/>
              <w:rPr/>
            </w:pPr>
            <w:r>
              <w:rPr/>
              <w:t>Share Termination Delivery Unit:</w:t>
            </w:r>
          </w:p>
        </w:tc>
        <w:tc>
          <w:tcPr>
            <w:tcW w:w="8626" w:type="dxa"/>
            <w:tcBorders/>
            <w:vAlign w:val="center"/>
          </w:tcPr>
          <w:p>
            <w:pPr>
              <w:pStyle w:val="TableContents"/>
              <w:bidi w:val="0"/>
              <w:spacing w:before="0" w:after="283"/>
              <w:jc w:val="both"/>
              <w:rPr/>
            </w:pPr>
            <w:r>
              <w:rPr/>
              <w:t>One Share or, if the Shares have changed into cash or any other property or the right to receive cash or any other property as the result of a Nationalization, Insolvency or Merger Event (any such cash or other property, the “</w:t>
            </w:r>
            <w:r>
              <w:rPr>
                <w:b/>
              </w:rPr>
              <w:t>Exchange Property</w:t>
            </w:r>
            <w:r>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tc>
      </w:tr>
      <w:tr>
        <w:trPr/>
        <w:tc>
          <w:tcPr>
            <w:tcW w:w="75" w:type="dxa"/>
            <w:tcBorders/>
            <w:vAlign w:val="center"/>
          </w:tcPr>
          <w:p>
            <w:pPr>
              <w:pStyle w:val="TableContents"/>
              <w:bidi w:val="0"/>
              <w:spacing w:before="0" w:after="283"/>
              <w:ind w:left="0" w:right="0" w:hanging="0"/>
              <w:jc w:val="left"/>
              <w:rPr/>
            </w:pPr>
            <w:r>
              <w:rPr/>
              <w:t> </w:t>
            </w:r>
          </w:p>
        </w:tc>
        <w:tc>
          <w:tcPr>
            <w:tcW w:w="1504" w:type="dxa"/>
            <w:tcBorders/>
            <w:vAlign w:val="center"/>
          </w:tcPr>
          <w:p>
            <w:pPr>
              <w:pStyle w:val="TableContents"/>
              <w:bidi w:val="0"/>
              <w:spacing w:before="0" w:after="283"/>
              <w:ind w:left="0" w:right="0" w:hanging="0"/>
              <w:jc w:val="both"/>
              <w:rPr/>
            </w:pPr>
            <w:r>
              <w:rPr/>
              <w:t>Share Termination Unit Price:</w:t>
            </w:r>
          </w:p>
        </w:tc>
        <w:tc>
          <w:tcPr>
            <w:tcW w:w="8626" w:type="dxa"/>
            <w:tcBorders/>
            <w:vAlign w:val="center"/>
          </w:tcPr>
          <w:p>
            <w:pPr>
              <w:pStyle w:val="TableContents"/>
              <w:bidi w:val="0"/>
              <w:spacing w:before="0" w:after="283"/>
              <w:jc w:val="both"/>
              <w:rPr/>
            </w:pPr>
            <w:r>
              <w:rPr/>
              <w:t xml:space="preserve">The value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Unit Price the Calculation Agent may consider the purchase price paid in connection with the purchase of Share Termination Delivery Property that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01"/>
        <w:gridCol w:w="8929"/>
      </w:tblGrid>
      <w:tr>
        <w:trPr/>
        <w:tc>
          <w:tcPr>
            <w:tcW w:w="75" w:type="dxa"/>
            <w:tcBorders/>
            <w:vAlign w:val="center"/>
          </w:tcPr>
          <w:p>
            <w:pPr>
              <w:pStyle w:val="TableContents"/>
              <w:bidi w:val="0"/>
              <w:spacing w:before="0" w:after="283"/>
              <w:ind w:left="0" w:right="0" w:hanging="0"/>
              <w:jc w:val="left"/>
              <w:rPr/>
            </w:pPr>
            <w:r>
              <w:rPr/>
              <w:t> </w:t>
            </w:r>
          </w:p>
        </w:tc>
        <w:tc>
          <w:tcPr>
            <w:tcW w:w="1201" w:type="dxa"/>
            <w:tcBorders/>
            <w:vAlign w:val="center"/>
          </w:tcPr>
          <w:p>
            <w:pPr>
              <w:pStyle w:val="TableContents"/>
              <w:bidi w:val="0"/>
              <w:spacing w:before="0" w:after="283"/>
              <w:ind w:left="0" w:right="0" w:hanging="0"/>
              <w:jc w:val="left"/>
              <w:rPr>
                <w:sz w:val="4"/>
                <w:szCs w:val="4"/>
              </w:rPr>
            </w:pPr>
            <w:r>
              <w:rPr>
                <w:sz w:val="4"/>
                <w:szCs w:val="4"/>
              </w:rPr>
            </w:r>
          </w:p>
        </w:tc>
        <w:tc>
          <w:tcPr>
            <w:tcW w:w="8929" w:type="dxa"/>
            <w:tcBorders/>
            <w:vAlign w:val="center"/>
          </w:tcPr>
          <w:p>
            <w:pPr>
              <w:pStyle w:val="TableContents"/>
              <w:bidi w:val="0"/>
              <w:spacing w:before="0" w:after="283"/>
              <w:jc w:val="both"/>
              <w:rPr/>
            </w:pPr>
            <w:r>
              <w:rPr/>
              <w:t>was purchased in connection with the delivery of the Share Termination Delivery Units.</w:t>
            </w:r>
          </w:p>
        </w:tc>
      </w:tr>
      <w:tr>
        <w:trPr/>
        <w:tc>
          <w:tcPr>
            <w:tcW w:w="75" w:type="dxa"/>
            <w:tcBorders/>
            <w:vAlign w:val="center"/>
          </w:tcPr>
          <w:p>
            <w:pPr>
              <w:pStyle w:val="TableContents"/>
              <w:bidi w:val="0"/>
              <w:spacing w:before="0" w:after="283"/>
              <w:ind w:left="0" w:right="0" w:hanging="0"/>
              <w:jc w:val="left"/>
              <w:rPr/>
            </w:pPr>
            <w:r>
              <w:rPr/>
              <w:t> </w:t>
            </w:r>
          </w:p>
        </w:tc>
        <w:tc>
          <w:tcPr>
            <w:tcW w:w="1201" w:type="dxa"/>
            <w:tcBorders/>
            <w:vAlign w:val="center"/>
          </w:tcPr>
          <w:p>
            <w:pPr>
              <w:pStyle w:val="TableContents"/>
              <w:bidi w:val="0"/>
              <w:spacing w:before="0" w:after="283"/>
              <w:ind w:left="0" w:right="0" w:hanging="0"/>
              <w:jc w:val="both"/>
              <w:rPr/>
            </w:pPr>
            <w:r>
              <w:rPr/>
              <w:t>Failure to Deliver:</w:t>
            </w:r>
          </w:p>
        </w:tc>
        <w:tc>
          <w:tcPr>
            <w:tcW w:w="8929" w:type="dxa"/>
            <w:tcBorders/>
            <w:vAlign w:val="center"/>
          </w:tcPr>
          <w:p>
            <w:pPr>
              <w:pStyle w:val="TableContents"/>
              <w:bidi w:val="0"/>
              <w:spacing w:before="0" w:after="283"/>
              <w:jc w:val="both"/>
              <w:rPr/>
            </w:pPr>
            <w:r>
              <w:rPr/>
              <w:t>Applicable</w:t>
            </w:r>
          </w:p>
        </w:tc>
      </w:tr>
      <w:tr>
        <w:trPr/>
        <w:tc>
          <w:tcPr>
            <w:tcW w:w="75" w:type="dxa"/>
            <w:tcBorders/>
            <w:vAlign w:val="center"/>
          </w:tcPr>
          <w:p>
            <w:pPr>
              <w:pStyle w:val="TableContents"/>
              <w:bidi w:val="0"/>
              <w:spacing w:before="0" w:after="283"/>
              <w:ind w:left="0" w:right="0" w:hanging="0"/>
              <w:jc w:val="left"/>
              <w:rPr/>
            </w:pPr>
            <w:r>
              <w:rPr/>
              <w:t> </w:t>
            </w:r>
          </w:p>
        </w:tc>
        <w:tc>
          <w:tcPr>
            <w:tcW w:w="1201" w:type="dxa"/>
            <w:tcBorders/>
            <w:vAlign w:val="center"/>
          </w:tcPr>
          <w:p>
            <w:pPr>
              <w:pStyle w:val="TableContents"/>
              <w:bidi w:val="0"/>
              <w:spacing w:before="0" w:after="283"/>
              <w:ind w:left="0" w:right="0" w:hanging="0"/>
              <w:jc w:val="both"/>
              <w:rPr/>
            </w:pPr>
            <w:r>
              <w:rPr/>
              <w:t>Other applicable provisions:</w:t>
            </w:r>
          </w:p>
        </w:tc>
        <w:tc>
          <w:tcPr>
            <w:tcW w:w="8929" w:type="dxa"/>
            <w:tcBorders/>
            <w:vAlign w:val="center"/>
          </w:tcPr>
          <w:p>
            <w:pPr>
              <w:pStyle w:val="TableContents"/>
              <w:bidi w:val="0"/>
              <w:spacing w:before="0" w:after="283"/>
              <w:jc w:val="both"/>
              <w:rPr/>
            </w:pPr>
            <w:r>
              <w:rPr/>
              <w:t>If Share Termination Alternative is applicable, the provisions of Sections 9.8, 9.9 and 9.11 (as modified above) of the Equity Definitions and the provisions set forth opposite the caption “Representation and Agreement” in Section 2 of this Confirmation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(m)</w:t>
            </w:r>
          </w:p>
        </w:tc>
        <w:tc>
          <w:tcPr>
            <w:tcW w:w="9882" w:type="dxa"/>
            <w:tcBorders/>
            <w:vAlign w:val="center"/>
          </w:tcPr>
          <w:p>
            <w:pPr>
              <w:pStyle w:val="TableContents"/>
              <w:bidi w:val="0"/>
              <w:spacing w:before="0" w:after="283"/>
              <w:jc w:val="both"/>
              <w:rPr/>
            </w:pPr>
            <w:r>
              <w:rPr>
                <w:i/>
                <w:u w:val="single"/>
              </w:rPr>
              <w:t>Waiver of Jury Trial</w:t>
            </w:r>
            <w:r>
              <w:rPr/>
              <w:t>. Each party waives, to the fullest extent permitted by applicable law, any right it 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(n)</w:t>
            </w:r>
          </w:p>
        </w:tc>
        <w:tc>
          <w:tcPr>
            <w:tcW w:w="9950" w:type="dxa"/>
            <w:tcBorders/>
            <w:vAlign w:val="center"/>
          </w:tcPr>
          <w:p>
            <w:pPr>
              <w:pStyle w:val="TableContents"/>
              <w:bidi w:val="0"/>
              <w:spacing w:before="0" w:after="283"/>
              <w:jc w:val="both"/>
              <w:rPr/>
            </w:pPr>
            <w:r>
              <w:rPr>
                <w:i/>
                <w:u w:val="single"/>
              </w:rPr>
              <w:t>Registration.</w:t>
            </w:r>
            <w:r>
              <w:rPr/>
              <w:t xml:space="preserve"> Counterparty hereby agrees that if, in the good faith reasonable judgment of Dealer, based on the advice of counsel, the Shares acquired and held by Dealer for the purpose of effecting a commercially reasonable hedge of its obligations pursuant to the Transaction (“</w:t>
            </w:r>
            <w:r>
              <w:rPr>
                <w:b/>
              </w:rPr>
              <w:t>Hedge Shares</w:t>
            </w:r>
            <w:r>
              <w:rPr/>
              <w:t>”) cannot be sold in the public market by Dealer without registration under the Securities Act (other than any such Hedge Shares that were, at the time of acquisition by Dealer, “restricted securities” (as defined in Rule 144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for a registered secondary offering of substantially similar size and in a similar industry (</w:t>
            </w:r>
            <w:r>
              <w:rPr>
                <w:i/>
              </w:rPr>
              <w:t>provided</w:t>
            </w:r>
            <w:r>
              <w:rPr/>
              <w:t xml:space="preserve">, </w:t>
            </w:r>
            <w:r>
              <w:rPr>
                <w:i/>
              </w:rPr>
              <w:t>however</w:t>
            </w:r>
            <w:r>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similar size and industry, in form and substance reasonably satisfactory to Dealer (in which case, the Calculation Agent shall make any adjustments to the terms of the Transaction that are necessary, in its reasonable judgment, to compensate Dealer for any commercially reasonable discount from the public market price of the Shares incurred on the sale of Hedge Shares in a private placement of similar size), or (iii) purchase the Hedge Shares from Dealer at the then-current market price on such Exchange Business Days, and in the amounts and at such time(s), requested by Dealer.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(o)</w:t>
            </w:r>
          </w:p>
        </w:tc>
        <w:tc>
          <w:tcPr>
            <w:tcW w:w="9938" w:type="dxa"/>
            <w:tcBorders/>
            <w:vAlign w:val="center"/>
          </w:tcPr>
          <w:p>
            <w:pPr>
              <w:pStyle w:val="TableContents"/>
              <w:bidi w:val="0"/>
              <w:spacing w:before="0" w:after="283"/>
              <w:jc w:val="both"/>
              <w:rPr/>
            </w:pPr>
            <w:r>
              <w:rPr>
                <w:i/>
                <w:u w:val="single"/>
              </w:rPr>
              <w:t>Tax Disclosure</w:t>
            </w:r>
            <w:r>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(p)</w:t>
            </w:r>
          </w:p>
        </w:tc>
        <w:tc>
          <w:tcPr>
            <w:tcW w:w="9949" w:type="dxa"/>
            <w:tcBorders/>
            <w:vAlign w:val="center"/>
          </w:tcPr>
          <w:p>
            <w:pPr>
              <w:pStyle w:val="TableContents"/>
              <w:bidi w:val="0"/>
              <w:spacing w:before="0" w:after="283"/>
              <w:jc w:val="both"/>
              <w:rPr/>
            </w:pPr>
            <w:r>
              <w:rPr>
                <w:i/>
                <w:u w:val="single"/>
              </w:rPr>
              <w:t>Right to Extend</w:t>
            </w:r>
            <w:r>
              <w:rPr/>
              <w:t xml:space="preserve">. Dealer may postpone or add, in whole or in part, any Valid Day or Valid Days during the Settlement Averaging Period or any other date of valuation, payment or delivery by Dealer, with respect to some or all of the Options hereunder, to the extent Dealer reasonably determines (and in the case of clause (ii) below, based on the advice of counsel), that such action is reasonably necessary or appropriate (i) to preserve Dealer’s commercially reasonable hedging or hedge unwind activity hereunder in light of existing liquidity conditions (but only if there is a decrease in liquidity relative to Dealer’s expectations on the Trade Date) or (ii) to enable Dealer to effect purchases of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(so long as such policies or procedures are consistently applied to transactions similar to the Transaction); </w:t>
            </w:r>
            <w:r>
              <w:rPr>
                <w:i/>
              </w:rPr>
              <w:t>provided</w:t>
            </w:r>
            <w:r>
              <w:rPr/>
              <w:t xml:space="preserve"> that no such Valid Day or other date of valuation, payment or delivery may be postponed or added more than 120 Valid Days after the original Valid Day or other date of valuation, payment or delivery, as the case may be.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(q)</w:t>
            </w:r>
          </w:p>
        </w:tc>
        <w:tc>
          <w:tcPr>
            <w:tcW w:w="9943" w:type="dxa"/>
            <w:tcBorders/>
            <w:vAlign w:val="center"/>
          </w:tcPr>
          <w:p>
            <w:pPr>
              <w:pStyle w:val="TableContents"/>
              <w:bidi w:val="0"/>
              <w:spacing w:before="0" w:after="283"/>
              <w:jc w:val="both"/>
              <w:rPr/>
            </w:pPr>
            <w:r>
              <w:rPr>
                <w:i/>
                <w:u w:val="single"/>
              </w:rPr>
              <w:t>Status of Claims in Bankruptcy</w:t>
            </w:r>
            <w:r>
              <w:rPr/>
              <w:t xml:space="preserve">. Dealer acknowledges and agrees that this Confirmation is not intended to convey to Dealer rights against Counterparty with respect to the Transaction that are senior to the claims of common stockholders of Counterparty in any United States bankruptcy proceedings of Counterparty; </w:t>
            </w:r>
            <w:r>
              <w:rPr>
                <w:i/>
              </w:rPr>
              <w:t>provided</w:t>
            </w:r>
            <w:r>
              <w:rPr/>
              <w:t xml:space="preserve"> that nothing herein shall limit or shall be deemed to limit Dealer’s right to pursue remedies in the event of a breach by Counterparty of its obligations and agreements with respect to the Transaction; </w:t>
            </w:r>
            <w:r>
              <w:rPr>
                <w:i/>
              </w:rPr>
              <w:t>provided further</w:t>
            </w:r>
            <w:r>
              <w:rPr/>
              <w:t xml:space="preserve"> that nothing herein shall limit or shall be deemed to limit Dealer’s rights in respect of any transactions other than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(r)</w:t>
            </w:r>
          </w:p>
        </w:tc>
        <w:tc>
          <w:tcPr>
            <w:tcW w:w="9990" w:type="dxa"/>
            <w:tcBorders/>
            <w:vAlign w:val="center"/>
          </w:tcPr>
          <w:p>
            <w:pPr>
              <w:pStyle w:val="TableContents"/>
              <w:bidi w:val="0"/>
              <w:spacing w:before="0" w:after="283"/>
              <w:jc w:val="both"/>
              <w:rPr/>
            </w:pPr>
            <w:r>
              <w:rPr>
                <w:i/>
                <w:u w:val="single"/>
              </w:rPr>
              <w:t>Securities Contract; Swap Agreement</w:t>
            </w:r>
            <w:r>
              <w:rPr/>
              <w:t>. The parties hereto intend for (i) the Transaction to be a “securities contract” and a “swap agreement” as defined in the Bankruptcy Code,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69"/>
        <w:gridCol w:w="9782"/>
      </w:tblGrid>
      <w:tr>
        <w:trPr/>
        <w:tc>
          <w:tcPr>
            <w:tcW w:w="5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(s)</w:t>
            </w:r>
          </w:p>
        </w:tc>
        <w:tc>
          <w:tcPr>
            <w:tcW w:w="9782" w:type="dxa"/>
            <w:tcBorders/>
            <w:vAlign w:val="center"/>
          </w:tcPr>
          <w:p>
            <w:pPr>
              <w:pStyle w:val="TableContents"/>
              <w:bidi w:val="0"/>
              <w:spacing w:before="0" w:after="283"/>
              <w:jc w:val="both"/>
              <w:rPr/>
            </w:pPr>
            <w:r>
              <w:rPr>
                <w:i/>
                <w:u w:val="single"/>
              </w:rPr>
              <w:t>Notice of Certain Other Events</w:t>
            </w:r>
            <w:r>
              <w:rPr/>
              <w:t>. Counterparty covenants and agrees that: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(i)</w:t>
            </w:r>
          </w:p>
        </w:tc>
        <w:tc>
          <w:tcPr>
            <w:tcW w:w="10001" w:type="dxa"/>
            <w:tcBorders/>
            <w:vAlign w:val="center"/>
          </w:tcPr>
          <w:p>
            <w:pPr>
              <w:pStyle w:val="TableContents"/>
              <w:bidi w:val="0"/>
              <w:spacing w:before="0" w:after="283"/>
              <w:jc w:val="both"/>
              <w:rPr/>
            </w:pPr>
            <w:r>
              <w:rPr/>
              <w:t>promptly following the public announcement of the results of any election by the holders of Shares with respect to the consideration due upon consummation of any Merger Event, Counterparty shall give Dealer written notice of the types and amounts of consideration actually received by holders of Shares pursuant to such Merger Event (the date of such notification, the “</w:t>
            </w:r>
            <w:r>
              <w:rPr>
                <w:b/>
              </w:rPr>
              <w:t>Consideration Notification Date</w:t>
            </w:r>
            <w:r>
              <w:rPr/>
              <w:t xml:space="preserve">”); </w:t>
            </w:r>
            <w:r>
              <w:rPr>
                <w:i/>
              </w:rPr>
              <w:t>provided</w:t>
            </w:r>
            <w:r>
              <w:rPr/>
              <w:t xml:space="preserve"> that in no event shall the Consideration Notification Date be later than the date on which such Merger Event is consummated;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t>(A) Counterparty shall give Dealer commercially reasonable advance (but in any event at least one Exchange Business Day prior to the relevant Adjustment Notice Deadline) written notice of the section or sections of the Indenture pursuant to which any adjustment will be made to the Convertible Notes in connection with any Potential Adjustment Event (other than a Potential Adjustment in respect of the Dilution Adjustment Provisions set forth in Section [   ]51) or Merger Event and (B) promptly following any such adjustment (or any adjustment that would have required a notice under clause (A) above but for the parenthetical exception included therein), Counterparty shall give Dealer written notice of the details of such adjustment. The “</w:t>
            </w:r>
            <w:r>
              <w:rPr>
                <w:b/>
              </w:rPr>
              <w:t>Adjustment Notice Deadline</w:t>
            </w:r>
            <w:r>
              <w:rPr/>
              <w:t>” means (i) for any</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51</w:t>
      </w:r>
      <w:r>
        <w:rPr>
          <w:rFonts w:ascii="Times New Roman;Times;Serif" w:hAnsi="Times New Roman;Times;Serif"/>
          <w:b w:val="false"/>
          <w:i w:val="false"/>
          <w:caps w:val="false"/>
          <w:smallCaps w:val="false"/>
          <w:sz w:val="20"/>
        </w:rPr>
        <w:t xml:space="preserve"> Include cross-reference to section of the Indenture providing for an adjustment to the Conversion Rate in connection with below market rights, options or warrants offering.</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Adjustment in respect of the Dilution Adjustment Provision set forth in Section [   ]</w:t>
      </w:r>
      <w:r>
        <w:rPr>
          <w:rFonts w:ascii="Times New Roman;Times;Serif" w:hAnsi="Times New Roman;Times;Serif"/>
          <w:b w:val="false"/>
          <w:i w:val="false"/>
          <w:caps w:val="false"/>
          <w:smallCaps w:val="false"/>
          <w:position w:val="7"/>
          <w:sz w:val="16"/>
          <w:sz w:val="20"/>
        </w:rPr>
        <w:t>52</w:t>
      </w:r>
      <w:r>
        <w:rPr>
          <w:rFonts w:ascii="Times New Roman;Times;Serif" w:hAnsi="Times New Roman;Times;Serif"/>
          <w:b w:val="false"/>
          <w:i w:val="false"/>
          <w:caps w:val="false"/>
          <w:smallCaps w:val="false"/>
          <w:sz w:val="20"/>
        </w:rPr>
        <w:t xml:space="preserve"> or Section [   ]</w:t>
      </w:r>
      <w:r>
        <w:rPr>
          <w:rFonts w:ascii="Times New Roman;Times;Serif" w:hAnsi="Times New Roman;Times;Serif"/>
          <w:b w:val="false"/>
          <w:i w:val="false"/>
          <w:caps w:val="false"/>
          <w:smallCaps w:val="false"/>
          <w:position w:val="7"/>
          <w:sz w:val="16"/>
          <w:sz w:val="20"/>
        </w:rPr>
        <w:t>53</w:t>
      </w:r>
      <w:r>
        <w:rPr>
          <w:rFonts w:ascii="Times New Roman;Times;Serif" w:hAnsi="Times New Roman;Times;Serif"/>
          <w:b w:val="false"/>
          <w:i w:val="false"/>
          <w:caps w:val="false"/>
          <w:smallCaps w:val="false"/>
          <w:sz w:val="20"/>
        </w:rPr>
        <w:t xml:space="preserve"> of the Indenture, the relevant “Ex-Dividend Date” (as such term is defined in the Indenture) or “Effective Date” (as such term is defined in the Indenture), as the case may be, (ii) for any Potential Adjustment in respect of the Dilution Adjustment Provision set forth in Section [   ]</w:t>
      </w:r>
      <w:r>
        <w:rPr>
          <w:rFonts w:ascii="Times New Roman;Times;Serif" w:hAnsi="Times New Roman;Times;Serif"/>
          <w:b w:val="false"/>
          <w:i w:val="false"/>
          <w:caps w:val="false"/>
          <w:smallCaps w:val="false"/>
          <w:position w:val="7"/>
          <w:sz w:val="16"/>
          <w:sz w:val="20"/>
        </w:rPr>
        <w:t>54</w:t>
      </w:r>
      <w:r>
        <w:rPr>
          <w:rFonts w:ascii="Times New Roman;Times;Serif" w:hAnsi="Times New Roman;Times;Serif"/>
          <w:b w:val="false"/>
          <w:i w:val="false"/>
          <w:caps w:val="false"/>
          <w:smallCaps w:val="false"/>
          <w:sz w:val="20"/>
        </w:rPr>
        <w:t xml:space="preserve"> of the Indenture, the first “Trading Day” (as such term is defined in the Indenture) of the period referred to in the definition of “SP” in such Section [   ]</w:t>
      </w:r>
      <w:r>
        <w:rPr>
          <w:rFonts w:ascii="Times New Roman;Times;Serif" w:hAnsi="Times New Roman;Times;Serif"/>
          <w:b w:val="false"/>
          <w:i w:val="false"/>
          <w:caps w:val="false"/>
          <w:smallCaps w:val="false"/>
          <w:position w:val="7"/>
          <w:sz w:val="16"/>
          <w:sz w:val="20"/>
        </w:rPr>
        <w:t>55</w:t>
      </w:r>
      <w:r>
        <w:rPr>
          <w:rFonts w:ascii="Times New Roman;Times;Serif" w:hAnsi="Times New Roman;Times;Serif"/>
          <w:b w:val="false"/>
          <w:i w:val="false"/>
          <w:caps w:val="false"/>
          <w:smallCaps w:val="false"/>
          <w:sz w:val="20"/>
        </w:rPr>
        <w:t xml:space="preserve"> of the Indenture, (iii) for any Potential Adjustment in respect of the Dilution Adjustment Provision set forth in Section [   ]</w:t>
      </w:r>
      <w:r>
        <w:rPr>
          <w:rFonts w:ascii="Times New Roman;Times;Serif" w:hAnsi="Times New Roman;Times;Serif"/>
          <w:b w:val="false"/>
          <w:i w:val="false"/>
          <w:caps w:val="false"/>
          <w:smallCaps w:val="false"/>
          <w:position w:val="7"/>
          <w:sz w:val="16"/>
          <w:sz w:val="20"/>
        </w:rPr>
        <w:t>56</w:t>
      </w:r>
      <w:r>
        <w:rPr>
          <w:rFonts w:ascii="Times New Roman;Times;Serif" w:hAnsi="Times New Roman;Times;Serif"/>
          <w:b w:val="false"/>
          <w:i w:val="false"/>
          <w:caps w:val="false"/>
          <w:smallCaps w:val="false"/>
          <w:sz w:val="20"/>
        </w:rPr>
        <w:t> of the Indenture, the first “Trading Day” (as such term is defined in the Indenture) of the “Spin-Off Valuation Period” (as such term is defined in the Indenture), (iv) for any Potential Adjustment in respect of the Dilution Adjustment Provision set forth in Section [   ]</w:t>
      </w:r>
      <w:r>
        <w:rPr>
          <w:rFonts w:ascii="Times New Roman;Times;Serif" w:hAnsi="Times New Roman;Times;Serif"/>
          <w:b w:val="false"/>
          <w:i w:val="false"/>
          <w:caps w:val="false"/>
          <w:smallCaps w:val="false"/>
          <w:position w:val="7"/>
          <w:sz w:val="16"/>
          <w:sz w:val="20"/>
        </w:rPr>
        <w:t>57</w:t>
      </w:r>
      <w:r>
        <w:rPr>
          <w:rFonts w:ascii="Times New Roman;Times;Serif" w:hAnsi="Times New Roman;Times;Serif"/>
          <w:b w:val="false"/>
          <w:i w:val="false"/>
          <w:caps w:val="false"/>
          <w:smallCaps w:val="false"/>
          <w:sz w:val="20"/>
        </w:rPr>
        <w:t xml:space="preserve"> of the Indenture, the first “Trading Day” (as such term is defined in the Indenture) of the “Tender/Exchange Offer Valuation Period” (as such term is defined in the Indenture), and (v) for any Merger Event, the effective date of such Merger Event (or, if earlier, the first day of any valuation or similar period in respect of such Merger Event).</w:t>
      </w:r>
    </w:p>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(t)</w:t>
            </w:r>
          </w:p>
        </w:tc>
        <w:tc>
          <w:tcPr>
            <w:tcW w:w="10006" w:type="dxa"/>
            <w:tcBorders/>
            <w:vAlign w:val="center"/>
          </w:tcPr>
          <w:p>
            <w:pPr>
              <w:pStyle w:val="TableContents"/>
              <w:bidi w:val="0"/>
              <w:spacing w:before="0" w:after="283"/>
              <w:jc w:val="both"/>
              <w:rPr/>
            </w:pPr>
            <w:r>
              <w:rPr>
                <w:i/>
                <w:u w:val="single"/>
              </w:rPr>
              <w:t>Wall Street Transparency and Accountability Act</w:t>
            </w:r>
            <w:r>
              <w:rPr/>
              <w:t>. In connection with Section 739 of the Wall Street Transparency and Accountability Act of 2010 (“</w:t>
            </w:r>
            <w:r>
              <w:rPr>
                <w:b/>
              </w:rPr>
              <w:t>WSTAA</w:t>
            </w:r>
            <w:r>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(u)</w:t>
            </w:r>
          </w:p>
        </w:tc>
        <w:tc>
          <w:tcPr>
            <w:tcW w:w="9947" w:type="dxa"/>
            <w:tcBorders/>
            <w:vAlign w:val="center"/>
          </w:tcPr>
          <w:p>
            <w:pPr>
              <w:pStyle w:val="TableContents"/>
              <w:bidi w:val="0"/>
              <w:spacing w:before="0" w:after="283"/>
              <w:jc w:val="both"/>
              <w:rPr/>
            </w:pPr>
            <w:r>
              <w:rPr>
                <w:i/>
                <w:u w:val="single"/>
              </w:rPr>
              <w:t>Agreements and Acknowledgements Regarding Hedging</w:t>
            </w:r>
            <w:r>
              <w:rPr/>
              <w:t>. Counterparty understands, acknowledges and agrees that: (A) 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the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(v)</w:t>
            </w:r>
          </w:p>
        </w:tc>
        <w:tc>
          <w:tcPr>
            <w:tcW w:w="9929" w:type="dxa"/>
            <w:tcBorders/>
            <w:vAlign w:val="center"/>
          </w:tcPr>
          <w:p>
            <w:pPr>
              <w:pStyle w:val="TableContents"/>
              <w:bidi w:val="0"/>
              <w:spacing w:before="0" w:after="283"/>
              <w:jc w:val="both"/>
              <w:rPr/>
            </w:pPr>
            <w:r>
              <w:rPr>
                <w:i/>
                <w:u w:val="single"/>
              </w:rPr>
              <w:t>Early Unwind</w:t>
            </w:r>
            <w:r>
              <w:rPr>
                <w:i/>
              </w:rPr>
              <w:t xml:space="preserve">. </w:t>
            </w:r>
            <w:r>
              <w:rPr/>
              <w:t>In the event the sale of the [“Firm Securities”]</w:t>
            </w:r>
            <w:r>
              <w:rPr>
                <w:position w:val="8"/>
                <w:sz w:val="19"/>
              </w:rPr>
              <w:t>58</w:t>
            </w:r>
            <w:r>
              <w:rPr/>
              <w:t>[“Option Securities”]</w:t>
            </w:r>
            <w:r>
              <w:rPr>
                <w:position w:val="8"/>
                <w:sz w:val="19"/>
              </w:rPr>
              <w:t xml:space="preserve">59 </w:t>
            </w:r>
            <w:r>
              <w:rPr/>
              <w:t>(as defined in the Purchase Agreement) is not consummated with the Initial Purchasers for any reason, or Counterparty fails to deliver to Dealer opinions of counsel as required pursuant to Section 9(a) of</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52</w:t>
      </w:r>
      <w:r>
        <w:rPr>
          <w:rFonts w:ascii="Times New Roman;Times;Serif" w:hAnsi="Times New Roman;Times;Serif"/>
          <w:b w:val="false"/>
          <w:i w:val="false"/>
          <w:caps w:val="false"/>
          <w:smallCaps w:val="false"/>
          <w:sz w:val="20"/>
        </w:rPr>
        <w:t xml:space="preserve"> Include cross-reference to section of the Indenture providing for an adjustment to the Conversion Rate in connection with cash dividends.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53</w:t>
      </w:r>
      <w:r>
        <w:rPr>
          <w:rFonts w:ascii="Times New Roman;Times;Serif" w:hAnsi="Times New Roman;Times;Serif"/>
          <w:b w:val="false"/>
          <w:i w:val="false"/>
          <w:caps w:val="false"/>
          <w:smallCaps w:val="false"/>
          <w:sz w:val="20"/>
        </w:rPr>
        <w:t xml:space="preserve"> Include cross-reference to section of the Indenture providing for an adjustment to the Conversion Rate in connection with share dividends or share split/combination.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54</w:t>
      </w:r>
      <w:r>
        <w:rPr>
          <w:rFonts w:ascii="Times New Roman;Times;Serif" w:hAnsi="Times New Roman;Times;Serif"/>
          <w:b w:val="false"/>
          <w:i w:val="false"/>
          <w:caps w:val="false"/>
          <w:smallCaps w:val="false"/>
          <w:sz w:val="20"/>
        </w:rPr>
        <w:t xml:space="preserve"> Include cross-reference to section of the Indenture providing for an adjustment to the Conversion Rate in connection with distributions of distributed property.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55</w:t>
      </w:r>
      <w:r>
        <w:rPr>
          <w:rFonts w:ascii="Times New Roman;Times;Serif" w:hAnsi="Times New Roman;Times;Serif"/>
          <w:b w:val="false"/>
          <w:i w:val="false"/>
          <w:caps w:val="false"/>
          <w:smallCaps w:val="false"/>
          <w:sz w:val="20"/>
        </w:rPr>
        <w:t xml:space="preserve"> Include cross-reference to section of the Indenture providing for an adjustment to the Conversion Rate in connection with distributions of distributed property.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56</w:t>
      </w:r>
      <w:r>
        <w:rPr>
          <w:rFonts w:ascii="Times New Roman;Times;Serif" w:hAnsi="Times New Roman;Times;Serif"/>
          <w:b w:val="false"/>
          <w:i w:val="false"/>
          <w:caps w:val="false"/>
          <w:smallCaps w:val="false"/>
          <w:sz w:val="20"/>
        </w:rPr>
        <w:t xml:space="preserve"> Include cross-reference to section of the Indenture providing for an adjustment to the Conversion Rate in connection with a spin-off.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57</w:t>
      </w:r>
      <w:r>
        <w:rPr>
          <w:rFonts w:ascii="Times New Roman;Times;Serif" w:hAnsi="Times New Roman;Times;Serif"/>
          <w:b w:val="false"/>
          <w:i w:val="false"/>
          <w:caps w:val="false"/>
          <w:smallCaps w:val="false"/>
          <w:sz w:val="20"/>
        </w:rPr>
        <w:t xml:space="preserve"> Include cross-reference to section of the Indenture providing for an adjustment to the Conversion Rate in connection with a tender offer.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58</w:t>
      </w:r>
      <w:r>
        <w:rPr>
          <w:rFonts w:ascii="Times New Roman;Times;Serif" w:hAnsi="Times New Roman;Times;Serif"/>
          <w:b w:val="false"/>
          <w:i w:val="false"/>
          <w:caps w:val="false"/>
          <w:smallCaps w:val="false"/>
          <w:sz w:val="20"/>
        </w:rPr>
        <w:t xml:space="preserve"> Insert for Base Call Option Confirmation.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59</w:t>
      </w:r>
      <w:r>
        <w:rPr>
          <w:rFonts w:ascii="Times New Roman;Times;Serif" w:hAnsi="Times New Roman;Times;Serif"/>
          <w:b w:val="false"/>
          <w:i w:val="false"/>
          <w:caps w:val="false"/>
          <w:smallCaps w:val="false"/>
          <w:sz w:val="20"/>
        </w:rPr>
        <w:t xml:space="preserve"> Insert for Additional Call Option Confirmation.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in each case by 5:00 p.m. (New York City time) on the Premium Payment Date, or such later date as agreed upon by the parties (the Premium Payment Date or such later date,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xml:space="preserve">”)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Early Unwind, Dealer shall return on the Early Unwind Date any Premium actually paid by Counterparty. Each of Dealer and Counterparty represents and acknowledges to the other that, subject to the proviso included in this Section 9(v), upon an Early Unwind, all obligations with respect to the Transaction shall be deemed fully and finally discharged.</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2201"/>
        <w:gridCol w:w="7766"/>
      </w:tblGrid>
      <w:tr>
        <w:trPr/>
        <w:tc>
          <w:tcPr>
            <w:tcW w:w="238"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pPr>
            <w:r>
              <w:rPr/>
              <w:t>(w)</w:t>
            </w:r>
          </w:p>
        </w:tc>
        <w:tc>
          <w:tcPr>
            <w:tcW w:w="7766" w:type="dxa"/>
            <w:tcBorders/>
            <w:vAlign w:val="center"/>
          </w:tcPr>
          <w:p>
            <w:pPr>
              <w:pStyle w:val="TableContents"/>
              <w:bidi w:val="0"/>
              <w:spacing w:before="0" w:after="283"/>
              <w:jc w:val="both"/>
              <w:rPr/>
            </w:pPr>
            <w:r>
              <w:rPr>
                <w:i/>
                <w:u w:val="single"/>
              </w:rPr>
              <w:t>Tax Matters</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Withholding Tax imposed on payments to non-U.S. counterparties under the United States Foreign Account Tax Compliance provisions of the HIRE Act</w:t>
      </w:r>
      <w:r>
        <w:rPr>
          <w:rFonts w:ascii="Times New Roman;Times;Serif" w:hAnsi="Times New Roman;Times;Serif"/>
          <w:b w:val="false"/>
          <w:i w:val="false"/>
          <w:caps w:val="false"/>
          <w:smallCaps w:val="false"/>
          <w:sz w:val="20"/>
        </w:rPr>
        <w:t>. The parties hereto agree that for the Transaction the terms “Tax” as used in Section 9(x) of this Confirmation and “Indemnifiable Tax” as defined in Section 14 of the Agreement, shall not include any Tax imposed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Times;Serif" w:hAnsi="Times New Roman;Times;Serif"/>
          <w:b/>
          <w:i w:val="false"/>
          <w:caps w:val="false"/>
          <w:smallCaps w:val="false"/>
          <w:sz w:val="20"/>
        </w:rPr>
        <w:t>FATCA Withholding Tax</w:t>
      </w:r>
      <w:r>
        <w:rPr>
          <w:rFonts w:ascii="Times New Roman;Times;Serif" w:hAnsi="Times New Roman;Times;Serif"/>
          <w:b w:val="false"/>
          <w:i w:val="false"/>
          <w:caps w:val="false"/>
          <w:smallCaps w:val="false"/>
          <w:sz w:val="20"/>
        </w:rPr>
        <w:t>”). For the avoidance of doubt, a FATCA Withholding Tax is a Tax the deduction or withholding of which is required by applicable law for the purposes of Section 2(d)(i) of the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Tax Documentation</w:t>
      </w:r>
      <w:r>
        <w:rPr>
          <w:rFonts w:ascii="Times New Roman;Times;Serif" w:hAnsi="Times New Roman;Times;Serif"/>
          <w:b w:val="false"/>
          <w:i w:val="false"/>
          <w:caps w:val="false"/>
          <w:smallCaps w:val="false"/>
          <w:sz w:val="20"/>
        </w:rPr>
        <w:t>. For purposes of Section 4(a)(i) and (ii) of the Agreement, (i) Counterparty agrees to deliver to Dealer one duly executed and completed United States Internal Revenue Service Form W-9 (or successor thereto) (A) on or before the date of execution of this Confirmation, (B) promptly upon reasonable demand by Dealer and (C) promptly upon learning that any such tax form previously provided by it has become expired, obsolete or incorrect and (ii) Dealer agrees to deliver to Counterparty one duly executed and completed [_______]</w:t>
      </w:r>
      <w:r>
        <w:rPr>
          <w:rFonts w:ascii="Times New Roman;Times;Serif" w:hAnsi="Times New Roman;Times;Serif"/>
          <w:b w:val="false"/>
          <w:i w:val="false"/>
          <w:caps w:val="false"/>
          <w:smallCaps w:val="false"/>
          <w:position w:val="7"/>
          <w:sz w:val="16"/>
          <w:sz w:val="20"/>
        </w:rPr>
        <w:t>60</w:t>
      </w:r>
      <w:r>
        <w:rPr>
          <w:rFonts w:ascii="Times New Roman;Times;Serif" w:hAnsi="Times New Roman;Times;Serif"/>
          <w:b w:val="false"/>
          <w:i w:val="false"/>
          <w:caps w:val="false"/>
          <w:smallCaps w:val="false"/>
          <w:sz w:val="20"/>
        </w:rPr>
        <w:t xml:space="preserve"> (or successor thereto), in each case, (A) on or before the date of execution of this Confirmation, (B) promptly upon reasonable demand by Counterparty and (C) promptly upon learning that any such tax form previously provided by it has become expired, obsolete or incorrect. Additionally, each party shall, promptly upon request by the other party, provide such other tax forms and documents reasonably requested by the other party that it can provide without material burden.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Payee Tax Representations</w:t>
      </w:r>
      <w:r>
        <w:rPr>
          <w:rFonts w:ascii="Times New Roman;Times;Serif" w:hAnsi="Times New Roman;Times;Serif"/>
          <w:b w:val="false"/>
          <w:i w:val="false"/>
          <w:caps w:val="false"/>
          <w:smallCaps w:val="false"/>
          <w:sz w:val="20"/>
        </w:rPr>
        <w:t>. Counterparty is a corporation for U.S. federal income tax purposes and is organized under the laws of the State of Delaware. Counterparty is a “U.S. person” (as that term is used in Treasury Regulation Section 1.1441-4(a)(3)(ii)) for U.S. federal income tax purposes and an exempt recipient under Treasury Regulation Section 1.6049-4(c)(1)(ii). [_______]</w:t>
      </w:r>
      <w:r>
        <w:rPr>
          <w:rFonts w:ascii="Times New Roman;Times;Serif" w:hAnsi="Times New Roman;Times;Serif"/>
          <w:b w:val="false"/>
          <w:i w:val="false"/>
          <w:caps w:val="false"/>
          <w:smallCaps w:val="false"/>
          <w:position w:val="7"/>
          <w:sz w:val="16"/>
          <w:sz w:val="20"/>
        </w:rPr>
        <w:t>61</w:t>
      </w:r>
      <w:r>
        <w:rPr>
          <w:rFonts w:ascii="Times New Roman;Times;Serif" w:hAnsi="Times New Roman;Times;Serif"/>
          <w:b w:val="false"/>
          <w:i w:val="false"/>
          <w:caps w:val="false"/>
          <w:smallCaps w:val="false"/>
          <w:sz w:val="20"/>
        </w:rPr>
        <w:t xml:space="preserve"> Each party agrees to give notice of any failure of a representation made by it under this Section 9(w)(iii) to be accurate and true promptly upon learning of such failure.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Incorporation of ISDA 2015 Section 871(m) Protocol Provisions</w:t>
      </w:r>
      <w:r>
        <w:rPr>
          <w:rFonts w:ascii="Times New Roman;Times;Serif" w:hAnsi="Times New Roman;Times;Serif"/>
          <w:b w:val="false"/>
          <w:i w:val="false"/>
          <w:caps w:val="false"/>
          <w:smallCaps w:val="false"/>
          <w:sz w:val="20"/>
        </w:rPr>
        <w:t>. To the extent that either party to the Agreement with respect to the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the Transaction as if set forth in full herein. The parties further agree that, solely for purposes of applying such provisions and amendments to the Agreement with respect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60</w:t>
      </w:r>
      <w:r>
        <w:rPr>
          <w:rFonts w:ascii="Times New Roman;Times;Serif" w:hAnsi="Times New Roman;Times;Serif"/>
          <w:b w:val="false"/>
          <w:i w:val="false"/>
          <w:caps w:val="false"/>
          <w:smallCaps w:val="false"/>
          <w:sz w:val="20"/>
        </w:rPr>
        <w:t xml:space="preserve"> To be populated with appropriate form for Dealer.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61</w:t>
      </w:r>
      <w:r>
        <w:rPr>
          <w:rFonts w:ascii="Times New Roman;Times;Serif" w:hAnsi="Times New Roman;Times;Serif"/>
          <w:b w:val="false"/>
          <w:i w:val="false"/>
          <w:caps w:val="false"/>
          <w:smallCaps w:val="false"/>
          <w:sz w:val="20"/>
        </w:rPr>
        <w:t xml:space="preserve"> To be populated with the appropriate rep for Dealer.</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Transaction, references to “each Covered Master Agreement” in the 871(m) Protocol will be deemed to be references to the Agreement with respect to the Transaction, and references to the “Implementation Date” in the 871(m) Protocol will be deemed to be references to the Trade Date of the Transaction. Notwithstanding anything to the contrary in this Section 9(w), the last sentence of Section 2(d)(iii) as proposed to be added by the 871(m) Protocol is not incorporated by reference herein.</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(x)</w:t>
            </w:r>
          </w:p>
        </w:tc>
        <w:tc>
          <w:tcPr>
            <w:tcW w:w="9949" w:type="dxa"/>
            <w:tcBorders/>
            <w:vAlign w:val="center"/>
          </w:tcPr>
          <w:p>
            <w:pPr>
              <w:pStyle w:val="TableContents"/>
              <w:bidi w:val="0"/>
              <w:spacing w:before="0" w:after="283"/>
              <w:jc w:val="both"/>
              <w:rPr/>
            </w:pPr>
            <w:r>
              <w:rPr>
                <w:i/>
                <w:u w:val="single"/>
              </w:rPr>
              <w:t>Payor Tax Representations</w:t>
            </w:r>
            <w:r>
              <w:rPr/>
              <w:t>. For the purpose of Section 3(e) of the Agreement, each party makes the following representation: 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or amounts payable hereunder that are considered to be interest for U.S. federal income tax purposes) to be made by it to the other party under the Agreement. In making this representation, it may rely on (i) the accuracy of any representations made by the other party pursuant to Section 9(w)(iii) of this Confirmation, (ii) the satisfaction of the agreement contained in Section 4(a)(i) or 4(a)(iii) of the Agreement and the accuracy and effectiveness of any document provided by the other party pursuant to Section 4(a)(i) or 4(a)(iii) of the Agreement, (iii) the satisfaction of the agreement of the other party contained in the last sentence of Section 9(w)(iii) of this Confirmation and (iv) the documentation provided by the other party pursuant to Section 9(w)(ii) of this Confirmation, except that it will not be a breach of this representation where reliance is placed on clause (ii) above and the other party does not deliver a form or document under Section 4(a)(iii) of the Agreement by reason of material prejudice to its legal or commercial position.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(y)</w:t>
            </w:r>
          </w:p>
        </w:tc>
        <w:tc>
          <w:tcPr>
            <w:tcW w:w="9942" w:type="dxa"/>
            <w:tcBorders/>
            <w:vAlign w:val="center"/>
          </w:tcPr>
          <w:p>
            <w:pPr>
              <w:pStyle w:val="TableContents"/>
              <w:bidi w:val="0"/>
              <w:spacing w:before="0" w:after="283"/>
              <w:jc w:val="both"/>
              <w:rPr/>
            </w:pPr>
            <w:r>
              <w:rPr>
                <w:i/>
                <w:u w:val="single"/>
              </w:rPr>
              <w:t>Payment by Counterparty</w:t>
            </w:r>
            <w:r>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(z)</w:t>
            </w:r>
          </w:p>
        </w:tc>
        <w:tc>
          <w:tcPr>
            <w:tcW w:w="9964" w:type="dxa"/>
            <w:tcBorders/>
            <w:vAlign w:val="center"/>
          </w:tcPr>
          <w:p>
            <w:pPr>
              <w:pStyle w:val="TableContents"/>
              <w:bidi w:val="0"/>
              <w:spacing w:before="0" w:after="283"/>
              <w:jc w:val="both"/>
              <w:rPr/>
            </w:pPr>
            <w:r>
              <w:rPr>
                <w:i/>
                <w:u w:val="single"/>
              </w:rPr>
              <w:t>Other Adjustments Pursuant to the Equity Definitions</w:t>
            </w:r>
            <w:r>
              <w:rPr/>
              <w:t xml:space="preserve">. Notwithstanding anything to the contrary in the Agreement, the Equity Definitions or this Confirmation, upon the occurrence of a Merger Date, the occurrence of a Tender Offer Date, or declaration by Counterparty of the terms of any Potential Adjustment Event, the Calculation Agent shall determine in good faith and in a commercially reasonable manner whether such occurrence or declaration, as applicable, has had a material economic effect on the Transaction, and if so, shall, in its good faith and commercially reasonable discretion, adjust the Cap Price to account for the economic effect on the Transaction of such occurrence or declaration; </w:t>
            </w:r>
            <w:r>
              <w:rPr>
                <w:i/>
              </w:rPr>
              <w:t>provided</w:t>
            </w:r>
            <w:r>
              <w:rPr/>
              <w:t xml:space="preserve"> that in no event shall the Cap Price be less than the Strike Price; </w:t>
            </w:r>
            <w:r>
              <w:rPr>
                <w:i/>
              </w:rPr>
              <w:t>provided further</w:t>
            </w:r>
            <w:r>
              <w:rPr/>
              <w:t xml:space="preserve"> that any adjustment to the Cap Price made pursuant to this section shall be made without duplication of any other adjustment hereunder. Solely for purposes of this Section 9(z): (x) the terms “Potential Adjustment Event,” “Merger Event,” and “Tender Offer” shall each have the meanings assigned to each such term in the Equity Definitions (in the case of the definition of “Potential Adjustment Event”, as amended by Section 9(j) of this Confirmation, and in the case of the definition of “Tender Offer”, as amended by the provisions opposite the caption “Announcement Event” in Section 3 of this Confirmation) and (y) “Extraordinary Dividend” means any cash dividend on the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3"/>
        <w:gridCol w:w="9855"/>
      </w:tblGrid>
      <w:tr>
        <w:trPr/>
        <w:tc>
          <w:tcPr>
            <w:tcW w:w="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(aa)</w:t>
            </w:r>
          </w:p>
        </w:tc>
        <w:tc>
          <w:tcPr>
            <w:tcW w:w="9855" w:type="dxa"/>
            <w:tcBorders/>
            <w:vAlign w:val="center"/>
          </w:tcPr>
          <w:p>
            <w:pPr>
              <w:pStyle w:val="TableContents"/>
              <w:bidi w:val="0"/>
              <w:spacing w:before="0" w:after="283"/>
              <w:jc w:val="both"/>
              <w:rPr/>
            </w:pPr>
            <w:r>
              <w:rPr>
                <w:i/>
                <w:u w:val="single"/>
              </w:rPr>
              <w:t>CARES Act</w:t>
            </w:r>
            <w:r>
              <w:rPr>
                <w:i/>
              </w:rPr>
              <w:t>.</w:t>
            </w:r>
            <w:r>
              <w:rPr/>
              <w:t xml:space="preserve"> Counterparty acknowledges that the Transaction may constitute a purchase of its equity securities or a capital distribution. Counterparty further acknowledges that, pursuant to the provisions of the Coronavirus Aid, Relief and Economic Security Act (the “</w:t>
            </w:r>
            <w:r>
              <w:rPr>
                <w:b/>
              </w:rPr>
              <w:t>CARES Act</w:t>
            </w:r>
            <w:r>
              <w:rPr/>
              <w:t>”), Counterparty will be required to agree to certain time-bound restrictions on its ability to purchase its equity securities or make capital distributions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or make capital distributions if it receives loans, loan guarantees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loans (as that term is defined in the CARES Act) under programs or facilities established by the Board of Governors of the Federal Reserve System, the U.S. Department of Treasury or similar governmental entity for the purpose of providing liquidity to the financial system. Accordingly, Counterparty represents and warrants that neither it, nor any of its subsidiaries have applied, and have no present intention to apply, for a loan, loan guarantee, direct loan (as that term is defined in the CARES Act) or other investment, or to receive any financial assistance or relief (howsoever defined) under any program or facility that (a) is established under applicable law (whether in existence as of the Trade Date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comply with any requirement to, or otherwise agree, attest, certify or warrant that it has not, as of the date specified in such condition, repurchased, or will not repurchase, any equity security of Counterparty;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Counterparty may apply for any such governmental assistance if Counterparty either (x) determines based on the advice of nationally recognized outside counsel that the terms of the Transaction would not cause Counterparty to fail to satisfy any condition for application for or receipt or retention of such governmental assistance based on the terms of the relevant program or facility as of the date of such advice or (y) delivers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this Transaction (either by specific reference to this Transaction or by general reference to transactions with the attributes of this Transaction in all relevant respects).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0"/>
        <w:gridCol w:w="9818"/>
      </w:tblGrid>
      <w:tr>
        <w:trPr/>
        <w:tc>
          <w:tcPr>
            <w:tcW w:w="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(bb)</w:t>
            </w:r>
          </w:p>
        </w:tc>
        <w:tc>
          <w:tcPr>
            <w:tcW w:w="9818" w:type="dxa"/>
            <w:tcBorders/>
            <w:vAlign w:val="center"/>
          </w:tcPr>
          <w:p>
            <w:pPr>
              <w:pStyle w:val="TableContents"/>
              <w:bidi w:val="0"/>
              <w:spacing w:before="0" w:after="283"/>
              <w:jc w:val="both"/>
              <w:rPr/>
            </w:pPr>
            <w:r>
              <w:rPr>
                <w:i/>
                <w:u w:val="single"/>
              </w:rPr>
              <w:t>Condition to Effectiveness</w:t>
            </w:r>
            <w:r>
              <w:rPr/>
              <w:t>.  Notwithstanding anything to the contrary in the Agreement or the Equity Definitions, it shall be a condition to effectiveness of (x) the Transaction and this Confirmation (other than, in each case, Section 9(i)(v) of this Confirmation) on the Premium Payment Date and (y) Counterparty’s obligation to pay Dealer the Premium, that the Credit Agreement is repaid in full and terminated on or prior to the Premium Payment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627"/>
        <w:gridCol w:w="9516"/>
      </w:tblGrid>
      <w:tr>
        <w:trPr/>
        <w:tc>
          <w:tcPr>
            <w:tcW w:w="6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pPr>
            <w:r>
              <w:rPr/>
              <w:t>(cc)</w:t>
            </w:r>
          </w:p>
        </w:tc>
        <w:tc>
          <w:tcPr>
            <w:tcW w:w="9516" w:type="dxa"/>
            <w:tcBorders/>
            <w:vAlign w:val="center"/>
          </w:tcPr>
          <w:p>
            <w:pPr>
              <w:pStyle w:val="TableContents"/>
              <w:bidi w:val="0"/>
              <w:spacing w:before="0" w:after="283"/>
              <w:jc w:val="both"/>
              <w:rPr/>
            </w:pPr>
            <w:r>
              <w:rPr/>
              <w:t>[</w:t>
            </w:r>
            <w:r>
              <w:rPr>
                <w:i/>
                <w:u w:val="single"/>
              </w:rPr>
              <w:t>Dealer Boilerplate</w:t>
            </w:r>
            <w:r>
              <w:rPr/>
              <w:t>.] [Insert Dealer boilerplate, if applicable]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to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the terms of the agreement between Dealer and Counterparty with respect to the Transaction, by manually signing this Confirmation or this page hereof as evidence of agreement to such terms and providing the other information requested herein and returning an executed copy to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29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4290" w:right="0" w:hanging="0"/>
        <w:jc w:val="both"/>
        <w:rPr>
          <w:caps w:val="false"/>
          <w:smallCaps w:val="false"/>
        </w:rPr>
      </w:pPr>
      <w:r>
        <w:rPr>
          <w:caps w:val="false"/>
          <w:smallCaps w:val="false"/>
        </w:rPr>
        <w:t> </w:t>
      </w:r>
    </w:p>
    <w:tbl>
      <w:tblPr>
        <w:tblW w:w="1864" w:type="dxa"/>
        <w:jc w:val="left"/>
        <w:tblInd w:w="0" w:type="dxa"/>
        <w:tblLayout w:type="fixed"/>
        <w:tblCellMar>
          <w:top w:w="0" w:type="dxa"/>
          <w:left w:w="0" w:type="dxa"/>
          <w:bottom w:w="0" w:type="dxa"/>
          <w:right w:w="0" w:type="dxa"/>
        </w:tblCellMar>
      </w:tblPr>
      <w:tblGrid>
        <w:gridCol w:w="75"/>
        <w:gridCol w:w="1546"/>
        <w:gridCol w:w="243"/>
      </w:tblGrid>
      <w:tr>
        <w:trPr/>
        <w:tc>
          <w:tcPr>
            <w:tcW w:w="75"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both"/>
              <w:rPr>
                <w:b/>
                <w:sz w:val="20"/>
              </w:rPr>
            </w:pPr>
            <w:r>
              <w:rPr>
                <w:b/>
                <w:sz w:val="20"/>
              </w:rPr>
              <w:t>[Dealer]</w:t>
            </w:r>
            <w:r>
              <w:rPr>
                <w:b/>
                <w:position w:val="7"/>
                <w:sz w:val="16"/>
                <w:sz w:val="20"/>
              </w:rPr>
              <w:t>62</w:t>
            </w:r>
          </w:p>
        </w:tc>
      </w:tr>
      <w:tr>
        <w:trPr/>
        <w:tc>
          <w:tcPr>
            <w:tcW w:w="75"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left"/>
              <w:rPr>
                <w:sz w:val="20"/>
              </w:rPr>
            </w:pPr>
            <w:r>
              <w:rPr>
                <w:sz w:val="20"/>
              </w:rPr>
              <w:t>By:</w:t>
            </w:r>
          </w:p>
        </w:tc>
        <w:tc>
          <w:tcPr>
            <w:tcW w:w="2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left"/>
              <w:rPr>
                <w:sz w:val="20"/>
              </w:rPr>
            </w:pPr>
            <w:r>
              <w:rPr>
                <w:sz w:val="20"/>
              </w:rPr>
              <w:t>Name:</w:t>
            </w:r>
          </w:p>
        </w:tc>
        <w:tc>
          <w:tcPr>
            <w:tcW w:w="24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confirmed</w:t>
        <w:br/>
        <w:t>as of the Trade Date:</w:t>
      </w:r>
    </w:p>
    <w:p>
      <w:pPr>
        <w:pStyle w:val="TextBody"/>
        <w:bidi w:val="0"/>
        <w:spacing w:before="0" w:after="0"/>
        <w:ind w:left="0" w:right="0" w:hanging="0"/>
        <w:jc w:val="left"/>
        <w:rPr>
          <w:caps w:val="false"/>
          <w:smallCaps w:val="false"/>
        </w:rPr>
      </w:pPr>
      <w:r>
        <w:rPr>
          <w:caps w:val="false"/>
          <w:smallCaps w:val="false"/>
        </w:rPr>
        <w:t> </w:t>
      </w:r>
    </w:p>
    <w:tbl>
      <w:tblPr>
        <w:tblW w:w="2329" w:type="dxa"/>
        <w:jc w:val="left"/>
        <w:tblInd w:w="0" w:type="dxa"/>
        <w:tblLayout w:type="fixed"/>
        <w:tblCellMar>
          <w:top w:w="0" w:type="dxa"/>
          <w:left w:w="0" w:type="dxa"/>
          <w:bottom w:w="0" w:type="dxa"/>
          <w:right w:w="0" w:type="dxa"/>
        </w:tblCellMar>
      </w:tblPr>
      <w:tblGrid>
        <w:gridCol w:w="2012"/>
        <w:gridCol w:w="242"/>
        <w:gridCol w:w="75"/>
      </w:tblGrid>
      <w:tr>
        <w:trPr/>
        <w:tc>
          <w:tcPr>
            <w:tcW w:w="2254" w:type="dxa"/>
            <w:gridSpan w:val="2"/>
            <w:tcBorders/>
            <w:vAlign w:val="center"/>
          </w:tcPr>
          <w:p>
            <w:pPr>
              <w:pStyle w:val="TableContents"/>
              <w:bidi w:val="0"/>
              <w:spacing w:before="0" w:after="283"/>
              <w:jc w:val="left"/>
              <w:rPr>
                <w:b/>
                <w:sz w:val="20"/>
              </w:rPr>
            </w:pPr>
            <w:r>
              <w:rPr>
                <w:b/>
                <w:sz w:val="20"/>
              </w:rPr>
              <w:t>ANI Pharmaceuticals, Inc.</w:t>
            </w:r>
          </w:p>
        </w:tc>
        <w:tc>
          <w:tcPr>
            <w:tcW w:w="75" w:type="dxa"/>
            <w:tcBorders/>
            <w:vAlign w:val="center"/>
          </w:tcPr>
          <w:p>
            <w:pPr>
              <w:pStyle w:val="TableContents"/>
              <w:bidi w:val="0"/>
              <w:spacing w:before="0" w:after="283"/>
              <w:jc w:val="left"/>
              <w:rPr/>
            </w:pPr>
            <w:r>
              <w:rPr/>
              <w:t> </w:t>
            </w:r>
          </w:p>
        </w:tc>
      </w:tr>
      <w:tr>
        <w:trPr/>
        <w:tc>
          <w:tcPr>
            <w:tcW w:w="22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12" w:type="dxa"/>
            <w:tcBorders/>
            <w:vAlign w:val="center"/>
          </w:tcPr>
          <w:p>
            <w:pPr>
              <w:pStyle w:val="TableContents"/>
              <w:bidi w:val="0"/>
              <w:spacing w:before="0" w:after="283"/>
              <w:jc w:val="left"/>
              <w:rPr>
                <w:sz w:val="20"/>
              </w:rPr>
            </w:pPr>
            <w:r>
              <w:rPr>
                <w:sz w:val="20"/>
              </w:rPr>
              <w:t>By:</w:t>
            </w:r>
          </w:p>
        </w:tc>
        <w:tc>
          <w:tcPr>
            <w:tcW w:w="24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54" w:type="dxa"/>
            <w:gridSpan w:val="2"/>
            <w:tcBorders/>
            <w:vAlign w:val="center"/>
          </w:tcPr>
          <w:p>
            <w:pPr>
              <w:pStyle w:val="TableContents"/>
              <w:bidi w:val="0"/>
              <w:spacing w:before="0" w:after="283"/>
              <w:jc w:val="left"/>
              <w:rPr>
                <w:sz w:val="20"/>
              </w:rPr>
            </w:pPr>
            <w:r>
              <w:rPr>
                <w:sz w:val="20"/>
              </w:rPr>
              <w:t>Authorized Signatory</w:t>
            </w:r>
          </w:p>
        </w:tc>
        <w:tc>
          <w:tcPr>
            <w:tcW w:w="75" w:type="dxa"/>
            <w:tcBorders/>
            <w:vAlign w:val="center"/>
          </w:tcPr>
          <w:p>
            <w:pPr>
              <w:pStyle w:val="TableContents"/>
              <w:bidi w:val="0"/>
              <w:spacing w:before="0" w:after="283"/>
              <w:jc w:val="left"/>
              <w:rPr/>
            </w:pPr>
            <w:r>
              <w:rPr/>
              <w:t> </w:t>
            </w:r>
          </w:p>
        </w:tc>
      </w:tr>
      <w:tr>
        <w:trPr/>
        <w:tc>
          <w:tcPr>
            <w:tcW w:w="2012" w:type="dxa"/>
            <w:tcBorders/>
            <w:vAlign w:val="center"/>
          </w:tcPr>
          <w:p>
            <w:pPr>
              <w:pStyle w:val="TableContents"/>
              <w:bidi w:val="0"/>
              <w:spacing w:before="0" w:after="283"/>
              <w:jc w:val="left"/>
              <w:rPr>
                <w:sz w:val="20"/>
              </w:rPr>
            </w:pPr>
            <w:r>
              <w:rPr>
                <w:sz w:val="20"/>
              </w:rPr>
              <w:t>Name:</w:t>
            </w:r>
          </w:p>
        </w:tc>
        <w:tc>
          <w:tcPr>
            <w:tcW w:w="24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62</w:t>
      </w:r>
      <w:r>
        <w:rPr>
          <w:rFonts w:ascii="Times New Roman;Times;Serif" w:hAnsi="Times New Roman;Times;Serif"/>
          <w:b w:val="false"/>
          <w:i w:val="false"/>
          <w:caps w:val="false"/>
          <w:smallCaps w:val="false"/>
          <w:sz w:val="20"/>
        </w:rPr>
        <w:t xml:space="preserve"> Include Dealer preferred signature page information,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[Base][Additional] Capped Call Confirmation]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26" w:name="dp216536_ex1002.htm"/>
      <w:bookmarkStart w:id="27" w:name="ksdp216536_ex1002"/>
      <w:bookmarkEnd w:id="26"/>
      <w:bookmarkEnd w:id="27"/>
      <w:r>
        <w:rPr>
          <w:rFonts w:ascii="Times New Roman;Times;Serif" w:hAnsi="Times New Roman;Times;Serif"/>
          <w:b/>
          <w:i w:val="false"/>
          <w:caps w:val="false"/>
          <w:smallCaps w:val="false"/>
          <w:sz w:val="20"/>
        </w:rPr>
        <w:t>Exhibit 10.2</w:t>
      </w:r>
      <w:r>
        <w:rPr>
          <w:rFonts w:ascii="Times New Roman;Times;Serif" w:hAnsi="Times New Roman;Times;Serif"/>
          <w:b w:val="false"/>
          <w:i w:val="false"/>
          <w:caps w:val="false"/>
          <w:smallCaps w:val="false"/>
          <w:sz w:val="20"/>
        </w:rPr>
        <w:t> </w:t>
      </w:r>
      <w:r>
        <w:br w:type="page"/>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 PHARMACEUTICALS, INC.,</w:t>
        <w:br/>
        <w:t>as Lead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ANIP ACQUISITION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Initial Subsidiary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DOMESTIC SUBSIDIARIES OF THE LEAD BORROWER</w:t>
        <w:br/>
        <w:t>FROM TIME TO TIME PARTY HERETO,</w:t>
        <w:br/>
        <w:t>as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as Administrative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13,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CAPITAL MARKETS, A DIVISION OF REGIONS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HUNTINGTON NATIONAL BANK, 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Joint Bookrunners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CAPITAL MARKETS, A DIVISION OF REGIONS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HUNTINGTON NATIONAL BANK, 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Syndication Agents</w:t>
      </w:r>
    </w:p>
    <w:p>
      <w:pPr>
        <w:pStyle w:val="TextBody"/>
        <w:bidi w:val="0"/>
        <w:spacing w:before="0" w:after="0"/>
        <w:ind w:left="1440" w:right="0" w:firstLine="2340"/>
        <w:jc w:val="left"/>
        <w:rPr>
          <w:caps w:val="false"/>
          <w:smallCaps w:val="false"/>
        </w:rPr>
      </w:pPr>
      <w:r>
        <w:rPr>
          <w:caps w:val="false"/>
          <w:smallCaps w:val="false"/>
        </w:rPr>
        <w:t> </w:t>
      </w:r>
    </w:p>
    <w:p>
      <w:pPr>
        <w:pStyle w:val="TextBody"/>
        <w:bidi w:val="0"/>
        <w:spacing w:before="0" w:after="0"/>
        <w:ind w:left="4" w:right="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4" w:right="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NATIONAL ASSOCIATION,</w:t>
      </w:r>
    </w:p>
    <w:p>
      <w:pPr>
        <w:pStyle w:val="TextBody"/>
        <w:bidi w:val="0"/>
        <w:spacing w:before="0" w:after="0"/>
        <w:ind w:left="4" w:right="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ONE, NATIONAL ASSOCIATION,</w:t>
      </w:r>
    </w:p>
    <w:p>
      <w:pPr>
        <w:pStyle w:val="TextBody"/>
        <w:bidi w:val="0"/>
        <w:spacing w:before="0" w:after="0"/>
        <w:ind w:left="4" w:right="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BANK, NATIONAL ASSOCIATION,</w:t>
      </w:r>
    </w:p>
    <w:p>
      <w:pPr>
        <w:pStyle w:val="TextBody"/>
        <w:bidi w:val="0"/>
        <w:spacing w:before="0" w:after="0"/>
        <w:ind w:left="4" w:right="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4" w:right="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BANK, NATIONAL ASSOCIATION,</w:t>
        <w:br/>
        <w:t>as Documentation Agents</w:t>
      </w:r>
    </w:p>
    <w:p>
      <w:pPr>
        <w:pStyle w:val="TextBody"/>
        <w:bidi w:val="0"/>
        <w:spacing w:before="0" w:after="0"/>
        <w:ind w:left="4" w:right="4" w:hanging="0"/>
        <w:jc w:val="center"/>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805"/>
        <w:gridCol w:w="275"/>
      </w:tblGrid>
      <w:tr>
        <w:trPr/>
        <w:tc>
          <w:tcPr>
            <w:tcW w:w="7805" w:type="dxa"/>
            <w:tcBorders/>
            <w:vAlign w:val="center"/>
          </w:tcPr>
          <w:p>
            <w:pPr>
              <w:pStyle w:val="TableContents"/>
              <w:bidi w:val="0"/>
              <w:spacing w:before="0" w:after="283"/>
              <w:ind w:left="0" w:right="0" w:hanging="1728"/>
              <w:jc w:val="left"/>
              <w:rPr/>
            </w:pPr>
            <w:r>
              <w:rPr/>
              <w:t>Article I DEFINITIONS</w:t>
            </w:r>
          </w:p>
        </w:tc>
        <w:tc>
          <w:tcPr>
            <w:tcW w:w="275" w:type="dxa"/>
            <w:tcBorders/>
            <w:vAlign w:val="center"/>
          </w:tcPr>
          <w:p>
            <w:pPr>
              <w:pStyle w:val="TableContents"/>
              <w:bidi w:val="0"/>
              <w:spacing w:before="0" w:after="283"/>
              <w:ind w:left="0" w:right="0" w:hanging="720"/>
              <w:jc w:val="right"/>
              <w:rPr/>
            </w:pPr>
            <w:r>
              <w:rPr/>
              <w:t>2</w:t>
            </w:r>
          </w:p>
        </w:tc>
      </w:tr>
      <w:tr>
        <w:trPr/>
        <w:tc>
          <w:tcPr>
            <w:tcW w:w="7805" w:type="dxa"/>
            <w:tcBorders/>
            <w:vAlign w:val="center"/>
          </w:tcPr>
          <w:p>
            <w:pPr>
              <w:pStyle w:val="TableContents"/>
              <w:bidi w:val="0"/>
              <w:spacing w:before="0" w:after="283"/>
              <w:jc w:val="left"/>
              <w:rPr/>
            </w:pPr>
            <w:r>
              <w:rPr/>
              <w:t>Section 1.1   Defined Terms.</w:t>
            </w:r>
          </w:p>
        </w:tc>
        <w:tc>
          <w:tcPr>
            <w:tcW w:w="275" w:type="dxa"/>
            <w:tcBorders/>
            <w:vAlign w:val="center"/>
          </w:tcPr>
          <w:p>
            <w:pPr>
              <w:pStyle w:val="TableContents"/>
              <w:bidi w:val="0"/>
              <w:spacing w:before="0" w:after="283"/>
              <w:ind w:left="0" w:right="0" w:hanging="720"/>
              <w:jc w:val="right"/>
              <w:rPr/>
            </w:pPr>
            <w:r>
              <w:rPr/>
              <w:t>2</w:t>
            </w:r>
          </w:p>
        </w:tc>
      </w:tr>
      <w:tr>
        <w:trPr/>
        <w:tc>
          <w:tcPr>
            <w:tcW w:w="7805" w:type="dxa"/>
            <w:tcBorders/>
            <w:vAlign w:val="center"/>
          </w:tcPr>
          <w:p>
            <w:pPr>
              <w:pStyle w:val="TableContents"/>
              <w:bidi w:val="0"/>
              <w:spacing w:before="0" w:after="283"/>
              <w:jc w:val="left"/>
              <w:rPr/>
            </w:pPr>
            <w:r>
              <w:rPr/>
              <w:t>Section 1.2   Other Definitional Provisions.</w:t>
            </w:r>
          </w:p>
        </w:tc>
        <w:tc>
          <w:tcPr>
            <w:tcW w:w="275" w:type="dxa"/>
            <w:tcBorders/>
            <w:vAlign w:val="center"/>
          </w:tcPr>
          <w:p>
            <w:pPr>
              <w:pStyle w:val="TableContents"/>
              <w:bidi w:val="0"/>
              <w:spacing w:before="0" w:after="283"/>
              <w:ind w:left="0" w:right="0" w:hanging="720"/>
              <w:jc w:val="right"/>
              <w:rPr/>
            </w:pPr>
            <w:r>
              <w:rPr/>
              <w:t>52</w:t>
            </w:r>
          </w:p>
        </w:tc>
      </w:tr>
      <w:tr>
        <w:trPr/>
        <w:tc>
          <w:tcPr>
            <w:tcW w:w="7805" w:type="dxa"/>
            <w:tcBorders/>
            <w:vAlign w:val="center"/>
          </w:tcPr>
          <w:p>
            <w:pPr>
              <w:pStyle w:val="TableContents"/>
              <w:bidi w:val="0"/>
              <w:spacing w:before="0" w:after="283"/>
              <w:jc w:val="left"/>
              <w:rPr/>
            </w:pPr>
            <w:r>
              <w:rPr/>
              <w:t>Section 1.3   Accounting Terms.</w:t>
            </w:r>
          </w:p>
        </w:tc>
        <w:tc>
          <w:tcPr>
            <w:tcW w:w="275" w:type="dxa"/>
            <w:tcBorders/>
            <w:vAlign w:val="center"/>
          </w:tcPr>
          <w:p>
            <w:pPr>
              <w:pStyle w:val="TableContents"/>
              <w:bidi w:val="0"/>
              <w:spacing w:before="0" w:after="283"/>
              <w:ind w:left="0" w:right="0" w:hanging="720"/>
              <w:jc w:val="right"/>
              <w:rPr/>
            </w:pPr>
            <w:r>
              <w:rPr/>
              <w:t>52</w:t>
            </w:r>
          </w:p>
        </w:tc>
      </w:tr>
      <w:tr>
        <w:trPr/>
        <w:tc>
          <w:tcPr>
            <w:tcW w:w="7805" w:type="dxa"/>
            <w:tcBorders/>
            <w:vAlign w:val="center"/>
          </w:tcPr>
          <w:p>
            <w:pPr>
              <w:pStyle w:val="TableContents"/>
              <w:bidi w:val="0"/>
              <w:spacing w:before="0" w:after="283"/>
              <w:jc w:val="left"/>
              <w:rPr/>
            </w:pPr>
            <w:r>
              <w:rPr/>
              <w:t>Section 1.4   Pro Forma Calculations.</w:t>
            </w:r>
          </w:p>
        </w:tc>
        <w:tc>
          <w:tcPr>
            <w:tcW w:w="275" w:type="dxa"/>
            <w:tcBorders/>
            <w:vAlign w:val="center"/>
          </w:tcPr>
          <w:p>
            <w:pPr>
              <w:pStyle w:val="TableContents"/>
              <w:bidi w:val="0"/>
              <w:spacing w:before="0" w:after="283"/>
              <w:ind w:left="0" w:right="0" w:hanging="720"/>
              <w:jc w:val="right"/>
              <w:rPr/>
            </w:pPr>
            <w:r>
              <w:rPr/>
              <w:t>53</w:t>
            </w:r>
          </w:p>
        </w:tc>
      </w:tr>
      <w:tr>
        <w:trPr/>
        <w:tc>
          <w:tcPr>
            <w:tcW w:w="7805" w:type="dxa"/>
            <w:tcBorders/>
            <w:vAlign w:val="center"/>
          </w:tcPr>
          <w:p>
            <w:pPr>
              <w:pStyle w:val="TableContents"/>
              <w:bidi w:val="0"/>
              <w:spacing w:before="0" w:after="283"/>
              <w:jc w:val="left"/>
              <w:rPr/>
            </w:pPr>
            <w:r>
              <w:rPr/>
              <w:t>Section 1.5   Limited Condition Transactions.</w:t>
            </w:r>
          </w:p>
        </w:tc>
        <w:tc>
          <w:tcPr>
            <w:tcW w:w="275" w:type="dxa"/>
            <w:tcBorders/>
            <w:vAlign w:val="center"/>
          </w:tcPr>
          <w:p>
            <w:pPr>
              <w:pStyle w:val="TableContents"/>
              <w:bidi w:val="0"/>
              <w:spacing w:before="0" w:after="283"/>
              <w:ind w:left="0" w:right="0" w:hanging="720"/>
              <w:jc w:val="right"/>
              <w:rPr/>
            </w:pPr>
            <w:r>
              <w:rPr/>
              <w:t>54</w:t>
            </w:r>
          </w:p>
        </w:tc>
      </w:tr>
      <w:tr>
        <w:trPr/>
        <w:tc>
          <w:tcPr>
            <w:tcW w:w="7805" w:type="dxa"/>
            <w:tcBorders/>
            <w:vAlign w:val="center"/>
          </w:tcPr>
          <w:p>
            <w:pPr>
              <w:pStyle w:val="TableContents"/>
              <w:bidi w:val="0"/>
              <w:spacing w:before="0" w:after="283"/>
              <w:jc w:val="left"/>
              <w:rPr/>
            </w:pPr>
            <w:r>
              <w:rPr/>
              <w:t>Section 1.6   Certain Determinations.</w:t>
            </w:r>
          </w:p>
        </w:tc>
        <w:tc>
          <w:tcPr>
            <w:tcW w:w="275" w:type="dxa"/>
            <w:tcBorders/>
            <w:vAlign w:val="center"/>
          </w:tcPr>
          <w:p>
            <w:pPr>
              <w:pStyle w:val="TableContents"/>
              <w:bidi w:val="0"/>
              <w:spacing w:before="0" w:after="283"/>
              <w:ind w:left="0" w:right="0" w:hanging="720"/>
              <w:jc w:val="right"/>
              <w:rPr/>
            </w:pPr>
            <w:r>
              <w:rPr/>
              <w:t>55</w:t>
            </w:r>
          </w:p>
        </w:tc>
      </w:tr>
      <w:tr>
        <w:trPr/>
        <w:tc>
          <w:tcPr>
            <w:tcW w:w="7805" w:type="dxa"/>
            <w:tcBorders/>
            <w:vAlign w:val="center"/>
          </w:tcPr>
          <w:p>
            <w:pPr>
              <w:pStyle w:val="TableContents"/>
              <w:bidi w:val="0"/>
              <w:spacing w:before="0" w:after="283"/>
              <w:jc w:val="left"/>
              <w:rPr/>
            </w:pPr>
            <w:r>
              <w:rPr/>
              <w:t>Section 1.7   Cashless Roll.</w:t>
            </w:r>
          </w:p>
        </w:tc>
        <w:tc>
          <w:tcPr>
            <w:tcW w:w="275" w:type="dxa"/>
            <w:tcBorders/>
            <w:vAlign w:val="center"/>
          </w:tcPr>
          <w:p>
            <w:pPr>
              <w:pStyle w:val="TableContents"/>
              <w:bidi w:val="0"/>
              <w:spacing w:before="0" w:after="283"/>
              <w:ind w:left="0" w:right="0" w:hanging="720"/>
              <w:jc w:val="right"/>
              <w:rPr/>
            </w:pPr>
            <w:r>
              <w:rPr/>
              <w:t>56</w:t>
            </w:r>
          </w:p>
        </w:tc>
      </w:tr>
      <w:tr>
        <w:trPr/>
        <w:tc>
          <w:tcPr>
            <w:tcW w:w="7805" w:type="dxa"/>
            <w:tcBorders/>
            <w:vAlign w:val="center"/>
          </w:tcPr>
          <w:p>
            <w:pPr>
              <w:pStyle w:val="TableContents"/>
              <w:bidi w:val="0"/>
              <w:spacing w:before="0" w:after="283"/>
              <w:jc w:val="left"/>
              <w:rPr/>
            </w:pPr>
            <w:r>
              <w:rPr/>
              <w:t>Section 1.8   Calculation of Baskets.</w:t>
            </w:r>
          </w:p>
        </w:tc>
        <w:tc>
          <w:tcPr>
            <w:tcW w:w="275" w:type="dxa"/>
            <w:tcBorders/>
            <w:vAlign w:val="center"/>
          </w:tcPr>
          <w:p>
            <w:pPr>
              <w:pStyle w:val="TableContents"/>
              <w:bidi w:val="0"/>
              <w:spacing w:before="0" w:after="283"/>
              <w:ind w:left="0" w:right="0" w:hanging="720"/>
              <w:jc w:val="right"/>
              <w:rPr/>
            </w:pPr>
            <w:r>
              <w:rPr/>
              <w:t>56</w:t>
            </w:r>
          </w:p>
        </w:tc>
      </w:tr>
      <w:tr>
        <w:trPr/>
        <w:tc>
          <w:tcPr>
            <w:tcW w:w="7805" w:type="dxa"/>
            <w:tcBorders/>
            <w:vAlign w:val="center"/>
          </w:tcPr>
          <w:p>
            <w:pPr>
              <w:pStyle w:val="TableContents"/>
              <w:bidi w:val="0"/>
              <w:spacing w:before="0" w:after="283"/>
              <w:jc w:val="left"/>
              <w:rPr/>
            </w:pPr>
            <w:r>
              <w:rPr/>
              <w:t>Section 1.9   Interest Rates; Benchmark Notification.</w:t>
            </w:r>
          </w:p>
        </w:tc>
        <w:tc>
          <w:tcPr>
            <w:tcW w:w="275" w:type="dxa"/>
            <w:tcBorders/>
            <w:vAlign w:val="center"/>
          </w:tcPr>
          <w:p>
            <w:pPr>
              <w:pStyle w:val="TableContents"/>
              <w:bidi w:val="0"/>
              <w:spacing w:before="0" w:after="283"/>
              <w:ind w:left="0" w:right="0" w:hanging="720"/>
              <w:jc w:val="right"/>
              <w:rPr/>
            </w:pPr>
            <w:r>
              <w:rPr/>
              <w:t>56</w:t>
            </w:r>
          </w:p>
        </w:tc>
      </w:tr>
      <w:tr>
        <w:trPr/>
        <w:tc>
          <w:tcPr>
            <w:tcW w:w="7805" w:type="dxa"/>
            <w:tcBorders/>
            <w:vAlign w:val="center"/>
          </w:tcPr>
          <w:p>
            <w:pPr>
              <w:pStyle w:val="TableContents"/>
              <w:bidi w:val="0"/>
              <w:spacing w:before="0" w:after="283"/>
              <w:jc w:val="left"/>
              <w:rPr/>
            </w:pPr>
            <w:r>
              <w:rPr/>
              <w:t>Section 1.10   Time References.</w:t>
            </w:r>
          </w:p>
        </w:tc>
        <w:tc>
          <w:tcPr>
            <w:tcW w:w="275" w:type="dxa"/>
            <w:tcBorders/>
            <w:vAlign w:val="center"/>
          </w:tcPr>
          <w:p>
            <w:pPr>
              <w:pStyle w:val="TableContents"/>
              <w:bidi w:val="0"/>
              <w:spacing w:before="0" w:after="283"/>
              <w:ind w:left="0" w:right="0" w:hanging="720"/>
              <w:jc w:val="right"/>
              <w:rPr/>
            </w:pPr>
            <w:r>
              <w:rPr/>
              <w:t>57</w:t>
            </w:r>
          </w:p>
        </w:tc>
      </w:tr>
      <w:tr>
        <w:trPr/>
        <w:tc>
          <w:tcPr>
            <w:tcW w:w="7805" w:type="dxa"/>
            <w:tcBorders/>
            <w:vAlign w:val="center"/>
          </w:tcPr>
          <w:p>
            <w:pPr>
              <w:pStyle w:val="TableContents"/>
              <w:bidi w:val="0"/>
              <w:spacing w:before="0" w:after="283"/>
              <w:jc w:val="left"/>
              <w:rPr/>
            </w:pPr>
            <w:r>
              <w:rPr/>
              <w:t>Section 1.11   Execution of Documents.</w:t>
            </w:r>
          </w:p>
        </w:tc>
        <w:tc>
          <w:tcPr>
            <w:tcW w:w="275" w:type="dxa"/>
            <w:tcBorders/>
            <w:vAlign w:val="center"/>
          </w:tcPr>
          <w:p>
            <w:pPr>
              <w:pStyle w:val="TableContents"/>
              <w:bidi w:val="0"/>
              <w:spacing w:before="0" w:after="283"/>
              <w:ind w:left="0" w:right="0" w:hanging="720"/>
              <w:jc w:val="right"/>
              <w:rPr/>
            </w:pPr>
            <w:r>
              <w:rPr/>
              <w:t>57</w:t>
            </w:r>
          </w:p>
        </w:tc>
      </w:tr>
      <w:tr>
        <w:trPr/>
        <w:tc>
          <w:tcPr>
            <w:tcW w:w="7805" w:type="dxa"/>
            <w:tcBorders/>
            <w:vAlign w:val="center"/>
          </w:tcPr>
          <w:p>
            <w:pPr>
              <w:pStyle w:val="TableContents"/>
              <w:bidi w:val="0"/>
              <w:spacing w:before="0" w:after="283"/>
              <w:jc w:val="left"/>
              <w:rPr/>
            </w:pPr>
            <w:r>
              <w:rPr/>
              <w:t>Section 1.12   Letter of Credit Amounts.</w:t>
            </w:r>
          </w:p>
        </w:tc>
        <w:tc>
          <w:tcPr>
            <w:tcW w:w="275" w:type="dxa"/>
            <w:tcBorders/>
            <w:vAlign w:val="center"/>
          </w:tcPr>
          <w:p>
            <w:pPr>
              <w:pStyle w:val="TableContents"/>
              <w:bidi w:val="0"/>
              <w:spacing w:before="0" w:after="283"/>
              <w:ind w:left="0" w:right="0" w:hanging="720"/>
              <w:jc w:val="right"/>
              <w:rPr/>
            </w:pPr>
            <w:r>
              <w:rPr/>
              <w:t>57</w:t>
            </w:r>
          </w:p>
        </w:tc>
      </w:tr>
      <w:tr>
        <w:trPr/>
        <w:tc>
          <w:tcPr>
            <w:tcW w:w="7805" w:type="dxa"/>
            <w:tcBorders/>
            <w:vAlign w:val="center"/>
          </w:tcPr>
          <w:p>
            <w:pPr>
              <w:pStyle w:val="TableContents"/>
              <w:bidi w:val="0"/>
              <w:spacing w:before="0" w:after="283"/>
              <w:jc w:val="left"/>
              <w:rPr/>
            </w:pPr>
            <w:r>
              <w:rPr/>
              <w:t>Section 1.13   Divisions.</w:t>
            </w:r>
          </w:p>
        </w:tc>
        <w:tc>
          <w:tcPr>
            <w:tcW w:w="275" w:type="dxa"/>
            <w:tcBorders/>
            <w:vAlign w:val="center"/>
          </w:tcPr>
          <w:p>
            <w:pPr>
              <w:pStyle w:val="TableContents"/>
              <w:bidi w:val="0"/>
              <w:spacing w:before="0" w:after="283"/>
              <w:ind w:left="0" w:right="0" w:hanging="1728"/>
              <w:jc w:val="right"/>
              <w:rPr/>
            </w:pPr>
            <w:r>
              <w:rPr/>
              <w:t>57</w:t>
            </w:r>
          </w:p>
        </w:tc>
      </w:tr>
      <w:tr>
        <w:trPr/>
        <w:tc>
          <w:tcPr>
            <w:tcW w:w="7805" w:type="dxa"/>
            <w:tcBorders/>
            <w:vAlign w:val="center"/>
          </w:tcPr>
          <w:p>
            <w:pPr>
              <w:pStyle w:val="TableContents"/>
              <w:bidi w:val="0"/>
              <w:spacing w:before="0" w:after="283"/>
              <w:jc w:val="left"/>
              <w:rPr/>
            </w:pPr>
            <w:r>
              <w:rPr/>
              <w:t>Article II THE LOANS; AMOUNT AND TERMS</w:t>
            </w:r>
          </w:p>
        </w:tc>
        <w:tc>
          <w:tcPr>
            <w:tcW w:w="275" w:type="dxa"/>
            <w:tcBorders/>
            <w:vAlign w:val="center"/>
          </w:tcPr>
          <w:p>
            <w:pPr>
              <w:pStyle w:val="TableContents"/>
              <w:bidi w:val="0"/>
              <w:spacing w:before="0" w:after="283"/>
              <w:ind w:left="0" w:right="0" w:hanging="720"/>
              <w:jc w:val="right"/>
              <w:rPr/>
            </w:pPr>
            <w:r>
              <w:rPr/>
              <w:t>57</w:t>
            </w:r>
          </w:p>
        </w:tc>
      </w:tr>
      <w:tr>
        <w:trPr/>
        <w:tc>
          <w:tcPr>
            <w:tcW w:w="7805" w:type="dxa"/>
            <w:tcBorders/>
            <w:vAlign w:val="center"/>
          </w:tcPr>
          <w:p>
            <w:pPr>
              <w:pStyle w:val="TableContents"/>
              <w:bidi w:val="0"/>
              <w:spacing w:before="0" w:after="283"/>
              <w:jc w:val="left"/>
              <w:rPr/>
            </w:pPr>
            <w:r>
              <w:rPr/>
              <w:t>Section 2.1   Revolving Loans.</w:t>
            </w:r>
          </w:p>
        </w:tc>
        <w:tc>
          <w:tcPr>
            <w:tcW w:w="275" w:type="dxa"/>
            <w:tcBorders/>
            <w:vAlign w:val="center"/>
          </w:tcPr>
          <w:p>
            <w:pPr>
              <w:pStyle w:val="TableContents"/>
              <w:bidi w:val="0"/>
              <w:spacing w:before="0" w:after="283"/>
              <w:ind w:left="0" w:right="0" w:hanging="720"/>
              <w:jc w:val="right"/>
              <w:rPr/>
            </w:pPr>
            <w:r>
              <w:rPr/>
              <w:t>57</w:t>
            </w:r>
          </w:p>
        </w:tc>
      </w:tr>
      <w:tr>
        <w:trPr/>
        <w:tc>
          <w:tcPr>
            <w:tcW w:w="7805" w:type="dxa"/>
            <w:tcBorders/>
            <w:vAlign w:val="center"/>
          </w:tcPr>
          <w:p>
            <w:pPr>
              <w:pStyle w:val="TableContents"/>
              <w:bidi w:val="0"/>
              <w:spacing w:before="0" w:after="283"/>
              <w:jc w:val="left"/>
              <w:rPr/>
            </w:pPr>
            <w:r>
              <w:rPr/>
              <w:t>Section 2.2   Initial Term Loans.</w:t>
            </w:r>
          </w:p>
        </w:tc>
        <w:tc>
          <w:tcPr>
            <w:tcW w:w="275" w:type="dxa"/>
            <w:tcBorders/>
            <w:vAlign w:val="center"/>
          </w:tcPr>
          <w:p>
            <w:pPr>
              <w:pStyle w:val="TableContents"/>
              <w:bidi w:val="0"/>
              <w:spacing w:before="0" w:after="283"/>
              <w:ind w:left="0" w:right="0" w:hanging="720"/>
              <w:jc w:val="right"/>
              <w:rPr/>
            </w:pPr>
            <w:r>
              <w:rPr/>
              <w:t>59</w:t>
            </w:r>
          </w:p>
        </w:tc>
      </w:tr>
      <w:tr>
        <w:trPr/>
        <w:tc>
          <w:tcPr>
            <w:tcW w:w="7805" w:type="dxa"/>
            <w:tcBorders/>
            <w:vAlign w:val="center"/>
          </w:tcPr>
          <w:p>
            <w:pPr>
              <w:pStyle w:val="TableContents"/>
              <w:bidi w:val="0"/>
              <w:spacing w:before="0" w:after="283"/>
              <w:jc w:val="left"/>
              <w:rPr/>
            </w:pPr>
            <w:r>
              <w:rPr/>
              <w:t>Section 2.3   Letter of Credit Subfacility.</w:t>
            </w:r>
          </w:p>
        </w:tc>
        <w:tc>
          <w:tcPr>
            <w:tcW w:w="275" w:type="dxa"/>
            <w:tcBorders/>
            <w:vAlign w:val="center"/>
          </w:tcPr>
          <w:p>
            <w:pPr>
              <w:pStyle w:val="TableContents"/>
              <w:bidi w:val="0"/>
              <w:spacing w:before="0" w:after="283"/>
              <w:ind w:left="0" w:right="0" w:hanging="720"/>
              <w:jc w:val="right"/>
              <w:rPr/>
            </w:pPr>
            <w:r>
              <w:rPr/>
              <w:t>61</w:t>
            </w:r>
          </w:p>
        </w:tc>
      </w:tr>
      <w:tr>
        <w:trPr/>
        <w:tc>
          <w:tcPr>
            <w:tcW w:w="7805" w:type="dxa"/>
            <w:tcBorders/>
            <w:vAlign w:val="center"/>
          </w:tcPr>
          <w:p>
            <w:pPr>
              <w:pStyle w:val="TableContents"/>
              <w:bidi w:val="0"/>
              <w:spacing w:before="0" w:after="283"/>
              <w:jc w:val="left"/>
              <w:rPr/>
            </w:pPr>
            <w:r>
              <w:rPr/>
              <w:t>Section 2.4   Swingline Loan Subfacility.</w:t>
            </w:r>
          </w:p>
        </w:tc>
        <w:tc>
          <w:tcPr>
            <w:tcW w:w="275" w:type="dxa"/>
            <w:tcBorders/>
            <w:vAlign w:val="center"/>
          </w:tcPr>
          <w:p>
            <w:pPr>
              <w:pStyle w:val="TableContents"/>
              <w:bidi w:val="0"/>
              <w:spacing w:before="0" w:after="283"/>
              <w:ind w:left="0" w:right="0" w:hanging="720"/>
              <w:jc w:val="right"/>
              <w:rPr/>
            </w:pPr>
            <w:r>
              <w:rPr/>
              <w:t>64</w:t>
            </w:r>
          </w:p>
        </w:tc>
      </w:tr>
      <w:tr>
        <w:trPr/>
        <w:tc>
          <w:tcPr>
            <w:tcW w:w="7805" w:type="dxa"/>
            <w:tcBorders/>
            <w:vAlign w:val="center"/>
          </w:tcPr>
          <w:p>
            <w:pPr>
              <w:pStyle w:val="TableContents"/>
              <w:bidi w:val="0"/>
              <w:spacing w:before="0" w:after="283"/>
              <w:jc w:val="left"/>
              <w:rPr/>
            </w:pPr>
            <w:r>
              <w:rPr/>
              <w:t>Section 2.5   Fees.</w:t>
            </w:r>
          </w:p>
        </w:tc>
        <w:tc>
          <w:tcPr>
            <w:tcW w:w="275" w:type="dxa"/>
            <w:tcBorders/>
            <w:vAlign w:val="center"/>
          </w:tcPr>
          <w:p>
            <w:pPr>
              <w:pStyle w:val="TableContents"/>
              <w:bidi w:val="0"/>
              <w:spacing w:before="0" w:after="283"/>
              <w:ind w:left="0" w:right="0" w:hanging="720"/>
              <w:jc w:val="right"/>
              <w:rPr/>
            </w:pPr>
            <w:r>
              <w:rPr/>
              <w:t>67</w:t>
            </w:r>
          </w:p>
        </w:tc>
      </w:tr>
      <w:tr>
        <w:trPr/>
        <w:tc>
          <w:tcPr>
            <w:tcW w:w="7805" w:type="dxa"/>
            <w:tcBorders/>
            <w:vAlign w:val="center"/>
          </w:tcPr>
          <w:p>
            <w:pPr>
              <w:pStyle w:val="TableContents"/>
              <w:bidi w:val="0"/>
              <w:spacing w:before="0" w:after="283"/>
              <w:jc w:val="left"/>
              <w:rPr/>
            </w:pPr>
            <w:r>
              <w:rPr/>
              <w:t>Section 2.6   Commitment Reductions.</w:t>
            </w:r>
          </w:p>
        </w:tc>
        <w:tc>
          <w:tcPr>
            <w:tcW w:w="275" w:type="dxa"/>
            <w:tcBorders/>
            <w:vAlign w:val="center"/>
          </w:tcPr>
          <w:p>
            <w:pPr>
              <w:pStyle w:val="TableContents"/>
              <w:bidi w:val="0"/>
              <w:spacing w:before="0" w:after="283"/>
              <w:ind w:left="0" w:right="0" w:hanging="720"/>
              <w:jc w:val="right"/>
              <w:rPr/>
            </w:pPr>
            <w:r>
              <w:rPr/>
              <w:t>67</w:t>
            </w:r>
          </w:p>
        </w:tc>
      </w:tr>
      <w:tr>
        <w:trPr/>
        <w:tc>
          <w:tcPr>
            <w:tcW w:w="7805" w:type="dxa"/>
            <w:tcBorders/>
            <w:vAlign w:val="center"/>
          </w:tcPr>
          <w:p>
            <w:pPr>
              <w:pStyle w:val="TableContents"/>
              <w:bidi w:val="0"/>
              <w:spacing w:before="0" w:after="283"/>
              <w:jc w:val="left"/>
              <w:rPr/>
            </w:pPr>
            <w:r>
              <w:rPr/>
              <w:t>Section 2.7   Prepayments.</w:t>
            </w:r>
          </w:p>
        </w:tc>
        <w:tc>
          <w:tcPr>
            <w:tcW w:w="275" w:type="dxa"/>
            <w:tcBorders/>
            <w:vAlign w:val="center"/>
          </w:tcPr>
          <w:p>
            <w:pPr>
              <w:pStyle w:val="TableContents"/>
              <w:bidi w:val="0"/>
              <w:spacing w:before="0" w:after="283"/>
              <w:ind w:left="0" w:right="0" w:hanging="720"/>
              <w:jc w:val="right"/>
              <w:rPr/>
            </w:pPr>
            <w:r>
              <w:rPr/>
              <w:t>68</w:t>
            </w:r>
          </w:p>
        </w:tc>
      </w:tr>
      <w:tr>
        <w:trPr/>
        <w:tc>
          <w:tcPr>
            <w:tcW w:w="7805" w:type="dxa"/>
            <w:tcBorders/>
            <w:vAlign w:val="center"/>
          </w:tcPr>
          <w:p>
            <w:pPr>
              <w:pStyle w:val="TableContents"/>
              <w:bidi w:val="0"/>
              <w:spacing w:before="0" w:after="283"/>
              <w:jc w:val="left"/>
              <w:rPr/>
            </w:pPr>
            <w:r>
              <w:rPr/>
              <w:t>Section 2.8   Default Rate and Payment Dates.</w:t>
            </w:r>
          </w:p>
        </w:tc>
        <w:tc>
          <w:tcPr>
            <w:tcW w:w="275" w:type="dxa"/>
            <w:tcBorders/>
            <w:vAlign w:val="center"/>
          </w:tcPr>
          <w:p>
            <w:pPr>
              <w:pStyle w:val="TableContents"/>
              <w:bidi w:val="0"/>
              <w:spacing w:before="0" w:after="283"/>
              <w:ind w:left="0" w:right="0" w:hanging="720"/>
              <w:jc w:val="right"/>
              <w:rPr/>
            </w:pPr>
            <w:r>
              <w:rPr/>
              <w:t>71</w:t>
            </w:r>
          </w:p>
        </w:tc>
      </w:tr>
      <w:tr>
        <w:trPr/>
        <w:tc>
          <w:tcPr>
            <w:tcW w:w="7805" w:type="dxa"/>
            <w:tcBorders/>
            <w:vAlign w:val="center"/>
          </w:tcPr>
          <w:p>
            <w:pPr>
              <w:pStyle w:val="TableContents"/>
              <w:bidi w:val="0"/>
              <w:spacing w:before="0" w:after="283"/>
              <w:jc w:val="left"/>
              <w:rPr/>
            </w:pPr>
            <w:r>
              <w:rPr/>
              <w:t>Section 2.9   Conversion and Continuation Options.</w:t>
            </w:r>
          </w:p>
        </w:tc>
        <w:tc>
          <w:tcPr>
            <w:tcW w:w="275" w:type="dxa"/>
            <w:tcBorders/>
            <w:vAlign w:val="center"/>
          </w:tcPr>
          <w:p>
            <w:pPr>
              <w:pStyle w:val="TableContents"/>
              <w:bidi w:val="0"/>
              <w:spacing w:before="0" w:after="283"/>
              <w:ind w:left="0" w:right="0" w:hanging="720"/>
              <w:jc w:val="right"/>
              <w:rPr/>
            </w:pPr>
            <w:r>
              <w:rPr/>
              <w:t>71</w:t>
            </w:r>
          </w:p>
        </w:tc>
      </w:tr>
      <w:tr>
        <w:trPr/>
        <w:tc>
          <w:tcPr>
            <w:tcW w:w="7805" w:type="dxa"/>
            <w:tcBorders/>
            <w:vAlign w:val="center"/>
          </w:tcPr>
          <w:p>
            <w:pPr>
              <w:pStyle w:val="TableContents"/>
              <w:bidi w:val="0"/>
              <w:spacing w:before="0" w:after="283"/>
              <w:jc w:val="left"/>
              <w:rPr/>
            </w:pPr>
            <w:r>
              <w:rPr/>
              <w:t>Section 2.10   Computation of Interest and Fees; Usury.</w:t>
            </w:r>
          </w:p>
        </w:tc>
        <w:tc>
          <w:tcPr>
            <w:tcW w:w="275" w:type="dxa"/>
            <w:tcBorders/>
            <w:vAlign w:val="center"/>
          </w:tcPr>
          <w:p>
            <w:pPr>
              <w:pStyle w:val="TableContents"/>
              <w:bidi w:val="0"/>
              <w:spacing w:before="0" w:after="283"/>
              <w:ind w:left="0" w:right="0" w:hanging="720"/>
              <w:jc w:val="right"/>
              <w:rPr/>
            </w:pPr>
            <w:r>
              <w:rPr/>
              <w:t>72</w:t>
            </w:r>
          </w:p>
        </w:tc>
      </w:tr>
      <w:tr>
        <w:trPr/>
        <w:tc>
          <w:tcPr>
            <w:tcW w:w="7805" w:type="dxa"/>
            <w:tcBorders/>
            <w:vAlign w:val="center"/>
          </w:tcPr>
          <w:p>
            <w:pPr>
              <w:pStyle w:val="TableContents"/>
              <w:bidi w:val="0"/>
              <w:spacing w:before="0" w:after="283"/>
              <w:jc w:val="left"/>
              <w:rPr/>
            </w:pPr>
            <w:r>
              <w:rPr/>
              <w:t>Section 2.11   Payments Generally; Pro Rata Treatment and Payments.</w:t>
            </w:r>
          </w:p>
        </w:tc>
        <w:tc>
          <w:tcPr>
            <w:tcW w:w="275" w:type="dxa"/>
            <w:tcBorders/>
            <w:vAlign w:val="center"/>
          </w:tcPr>
          <w:p>
            <w:pPr>
              <w:pStyle w:val="TableContents"/>
              <w:bidi w:val="0"/>
              <w:spacing w:before="0" w:after="283"/>
              <w:ind w:left="0" w:right="0" w:hanging="720"/>
              <w:jc w:val="right"/>
              <w:rPr/>
            </w:pPr>
            <w:r>
              <w:rPr/>
              <w:t>72</w:t>
            </w:r>
          </w:p>
        </w:tc>
      </w:tr>
      <w:tr>
        <w:trPr/>
        <w:tc>
          <w:tcPr>
            <w:tcW w:w="7805" w:type="dxa"/>
            <w:tcBorders/>
            <w:vAlign w:val="center"/>
          </w:tcPr>
          <w:p>
            <w:pPr>
              <w:pStyle w:val="TableContents"/>
              <w:bidi w:val="0"/>
              <w:spacing w:before="0" w:after="283"/>
              <w:jc w:val="left"/>
              <w:rPr/>
            </w:pPr>
            <w:r>
              <w:rPr/>
              <w:t>Section 2.12   Non-Receipt of Funds; Administrative Agent’s Clawback.</w:t>
            </w:r>
          </w:p>
        </w:tc>
        <w:tc>
          <w:tcPr>
            <w:tcW w:w="275" w:type="dxa"/>
            <w:tcBorders/>
            <w:vAlign w:val="center"/>
          </w:tcPr>
          <w:p>
            <w:pPr>
              <w:pStyle w:val="TableContents"/>
              <w:bidi w:val="0"/>
              <w:spacing w:before="0" w:after="283"/>
              <w:ind w:left="0" w:right="0" w:hanging="720"/>
              <w:jc w:val="right"/>
              <w:rPr/>
            </w:pPr>
            <w:r>
              <w:rPr/>
              <w:t>74</w:t>
            </w:r>
          </w:p>
        </w:tc>
      </w:tr>
      <w:tr>
        <w:trPr/>
        <w:tc>
          <w:tcPr>
            <w:tcW w:w="7805" w:type="dxa"/>
            <w:tcBorders/>
            <w:vAlign w:val="center"/>
          </w:tcPr>
          <w:p>
            <w:pPr>
              <w:pStyle w:val="TableContents"/>
              <w:bidi w:val="0"/>
              <w:spacing w:before="0" w:after="283"/>
              <w:jc w:val="left"/>
              <w:rPr/>
            </w:pPr>
            <w:r>
              <w:rPr/>
              <w:t>Section 2.13   Inability to Determine Interest Rate; Benchmark Replacement.</w:t>
            </w:r>
          </w:p>
        </w:tc>
        <w:tc>
          <w:tcPr>
            <w:tcW w:w="275" w:type="dxa"/>
            <w:tcBorders/>
            <w:vAlign w:val="center"/>
          </w:tcPr>
          <w:p>
            <w:pPr>
              <w:pStyle w:val="TableContents"/>
              <w:bidi w:val="0"/>
              <w:spacing w:before="0" w:after="283"/>
              <w:ind w:left="0" w:right="0" w:hanging="720"/>
              <w:jc w:val="right"/>
              <w:rPr/>
            </w:pPr>
            <w:r>
              <w:rPr/>
              <w:t>75</w:t>
            </w:r>
          </w:p>
        </w:tc>
      </w:tr>
      <w:tr>
        <w:trPr/>
        <w:tc>
          <w:tcPr>
            <w:tcW w:w="7805" w:type="dxa"/>
            <w:tcBorders/>
            <w:vAlign w:val="center"/>
          </w:tcPr>
          <w:p>
            <w:pPr>
              <w:pStyle w:val="TableContents"/>
              <w:bidi w:val="0"/>
              <w:spacing w:before="0" w:after="283"/>
              <w:jc w:val="left"/>
              <w:rPr/>
            </w:pPr>
            <w:r>
              <w:rPr/>
              <w:t>Section 2.14   Yield Protection.</w:t>
            </w:r>
          </w:p>
        </w:tc>
        <w:tc>
          <w:tcPr>
            <w:tcW w:w="275" w:type="dxa"/>
            <w:tcBorders/>
            <w:vAlign w:val="center"/>
          </w:tcPr>
          <w:p>
            <w:pPr>
              <w:pStyle w:val="TableContents"/>
              <w:bidi w:val="0"/>
              <w:spacing w:before="0" w:after="283"/>
              <w:ind w:left="0" w:right="0" w:hanging="720"/>
              <w:jc w:val="right"/>
              <w:rPr/>
            </w:pPr>
            <w:r>
              <w:rPr/>
              <w:t>78</w:t>
            </w:r>
          </w:p>
        </w:tc>
      </w:tr>
      <w:tr>
        <w:trPr/>
        <w:tc>
          <w:tcPr>
            <w:tcW w:w="7805" w:type="dxa"/>
            <w:tcBorders/>
            <w:vAlign w:val="center"/>
          </w:tcPr>
          <w:p>
            <w:pPr>
              <w:pStyle w:val="TableContents"/>
              <w:bidi w:val="0"/>
              <w:spacing w:before="0" w:after="283"/>
              <w:jc w:val="left"/>
              <w:rPr/>
            </w:pPr>
            <w:r>
              <w:rPr/>
              <w:t>Section 2.15   Compensation for Losses.</w:t>
            </w:r>
          </w:p>
        </w:tc>
        <w:tc>
          <w:tcPr>
            <w:tcW w:w="275" w:type="dxa"/>
            <w:tcBorders/>
            <w:vAlign w:val="center"/>
          </w:tcPr>
          <w:p>
            <w:pPr>
              <w:pStyle w:val="TableContents"/>
              <w:bidi w:val="0"/>
              <w:spacing w:before="0" w:after="283"/>
              <w:ind w:left="0" w:right="0" w:hanging="720"/>
              <w:jc w:val="right"/>
              <w:rPr/>
            </w:pPr>
            <w:r>
              <w:rPr/>
              <w:t>79</w:t>
            </w:r>
          </w:p>
        </w:tc>
      </w:tr>
      <w:tr>
        <w:trPr/>
        <w:tc>
          <w:tcPr>
            <w:tcW w:w="7805" w:type="dxa"/>
            <w:tcBorders/>
            <w:vAlign w:val="center"/>
          </w:tcPr>
          <w:p>
            <w:pPr>
              <w:pStyle w:val="TableContents"/>
              <w:bidi w:val="0"/>
              <w:spacing w:before="0" w:after="283"/>
              <w:jc w:val="left"/>
              <w:rPr/>
            </w:pPr>
            <w:r>
              <w:rPr/>
              <w:t>Section 2.16   Taxes.</w:t>
            </w:r>
          </w:p>
        </w:tc>
        <w:tc>
          <w:tcPr>
            <w:tcW w:w="275" w:type="dxa"/>
            <w:tcBorders/>
            <w:vAlign w:val="center"/>
          </w:tcPr>
          <w:p>
            <w:pPr>
              <w:pStyle w:val="TableContents"/>
              <w:bidi w:val="0"/>
              <w:spacing w:before="0" w:after="283"/>
              <w:ind w:left="0" w:right="0" w:hanging="720"/>
              <w:jc w:val="right"/>
              <w:rPr/>
            </w:pPr>
            <w:r>
              <w:rPr/>
              <w:t>79</w:t>
            </w:r>
          </w:p>
        </w:tc>
      </w:tr>
      <w:tr>
        <w:trPr/>
        <w:tc>
          <w:tcPr>
            <w:tcW w:w="7805" w:type="dxa"/>
            <w:tcBorders/>
            <w:vAlign w:val="center"/>
          </w:tcPr>
          <w:p>
            <w:pPr>
              <w:pStyle w:val="TableContents"/>
              <w:bidi w:val="0"/>
              <w:spacing w:before="0" w:after="283"/>
              <w:jc w:val="left"/>
              <w:rPr/>
            </w:pPr>
            <w:r>
              <w:rPr/>
              <w:t>Section 2.17   Indemnification; Nature of Issuing Lender’s Duties.</w:t>
            </w:r>
          </w:p>
        </w:tc>
        <w:tc>
          <w:tcPr>
            <w:tcW w:w="275" w:type="dxa"/>
            <w:tcBorders/>
            <w:vAlign w:val="center"/>
          </w:tcPr>
          <w:p>
            <w:pPr>
              <w:pStyle w:val="TableContents"/>
              <w:bidi w:val="0"/>
              <w:spacing w:before="0" w:after="283"/>
              <w:ind w:left="0" w:right="0" w:hanging="720"/>
              <w:jc w:val="right"/>
              <w:rPr/>
            </w:pPr>
            <w:r>
              <w:rPr/>
              <w:t>83</w:t>
            </w:r>
          </w:p>
        </w:tc>
      </w:tr>
      <w:tr>
        <w:trPr/>
        <w:tc>
          <w:tcPr>
            <w:tcW w:w="7805" w:type="dxa"/>
            <w:tcBorders/>
            <w:vAlign w:val="center"/>
          </w:tcPr>
          <w:p>
            <w:pPr>
              <w:pStyle w:val="TableContents"/>
              <w:bidi w:val="0"/>
              <w:spacing w:before="0" w:after="283"/>
              <w:jc w:val="left"/>
              <w:rPr/>
            </w:pPr>
            <w:r>
              <w:rPr/>
              <w:t>Section 2.18   [Reserved].</w:t>
            </w:r>
          </w:p>
        </w:tc>
        <w:tc>
          <w:tcPr>
            <w:tcW w:w="275" w:type="dxa"/>
            <w:tcBorders/>
            <w:vAlign w:val="center"/>
          </w:tcPr>
          <w:p>
            <w:pPr>
              <w:pStyle w:val="TableContents"/>
              <w:bidi w:val="0"/>
              <w:spacing w:before="0" w:after="283"/>
              <w:ind w:left="0" w:right="0" w:hanging="720"/>
              <w:jc w:val="right"/>
              <w:rPr/>
            </w:pPr>
            <w:r>
              <w:rPr/>
              <w:t>84</w:t>
            </w:r>
          </w:p>
        </w:tc>
      </w:tr>
      <w:tr>
        <w:trPr/>
        <w:tc>
          <w:tcPr>
            <w:tcW w:w="7805" w:type="dxa"/>
            <w:tcBorders/>
            <w:vAlign w:val="center"/>
          </w:tcPr>
          <w:p>
            <w:pPr>
              <w:pStyle w:val="TableContents"/>
              <w:bidi w:val="0"/>
              <w:spacing w:before="0" w:after="283"/>
              <w:jc w:val="left"/>
              <w:rPr/>
            </w:pPr>
            <w:r>
              <w:rPr/>
              <w:t>Section 2.19   Mitigation Obligations; Replacement of Lenders.</w:t>
            </w:r>
          </w:p>
        </w:tc>
        <w:tc>
          <w:tcPr>
            <w:tcW w:w="275" w:type="dxa"/>
            <w:tcBorders/>
            <w:vAlign w:val="center"/>
          </w:tcPr>
          <w:p>
            <w:pPr>
              <w:pStyle w:val="TableContents"/>
              <w:bidi w:val="0"/>
              <w:spacing w:before="0" w:after="283"/>
              <w:ind w:left="0" w:right="0" w:hanging="720"/>
              <w:jc w:val="right"/>
              <w:rPr/>
            </w:pPr>
            <w:r>
              <w:rPr/>
              <w:t>84</w:t>
            </w:r>
          </w:p>
        </w:tc>
      </w:tr>
      <w:tr>
        <w:trPr/>
        <w:tc>
          <w:tcPr>
            <w:tcW w:w="7805" w:type="dxa"/>
            <w:tcBorders/>
            <w:vAlign w:val="center"/>
          </w:tcPr>
          <w:p>
            <w:pPr>
              <w:pStyle w:val="TableContents"/>
              <w:bidi w:val="0"/>
              <w:spacing w:before="0" w:after="283"/>
              <w:jc w:val="left"/>
              <w:rPr/>
            </w:pPr>
            <w:r>
              <w:rPr/>
              <w:t>Section 2.20   Cash Collateral.</w:t>
            </w:r>
          </w:p>
        </w:tc>
        <w:tc>
          <w:tcPr>
            <w:tcW w:w="275" w:type="dxa"/>
            <w:tcBorders/>
            <w:vAlign w:val="center"/>
          </w:tcPr>
          <w:p>
            <w:pPr>
              <w:pStyle w:val="TableContents"/>
              <w:bidi w:val="0"/>
              <w:spacing w:before="0" w:after="283"/>
              <w:ind w:left="0" w:right="0" w:hanging="720"/>
              <w:jc w:val="right"/>
              <w:rPr/>
            </w:pPr>
            <w:r>
              <w:rPr/>
              <w:t>85</w:t>
            </w:r>
          </w:p>
        </w:tc>
      </w:tr>
      <w:tr>
        <w:trPr/>
        <w:tc>
          <w:tcPr>
            <w:tcW w:w="7805" w:type="dxa"/>
            <w:tcBorders/>
            <w:vAlign w:val="center"/>
          </w:tcPr>
          <w:p>
            <w:pPr>
              <w:pStyle w:val="TableContents"/>
              <w:bidi w:val="0"/>
              <w:spacing w:before="0" w:after="283"/>
              <w:jc w:val="left"/>
              <w:rPr/>
            </w:pPr>
            <w:r>
              <w:rPr/>
              <w:t>Section 2.21   Defaulting Lenders.</w:t>
            </w:r>
          </w:p>
        </w:tc>
        <w:tc>
          <w:tcPr>
            <w:tcW w:w="275" w:type="dxa"/>
            <w:tcBorders/>
            <w:vAlign w:val="center"/>
          </w:tcPr>
          <w:p>
            <w:pPr>
              <w:pStyle w:val="TableContents"/>
              <w:bidi w:val="0"/>
              <w:spacing w:before="0" w:after="283"/>
              <w:ind w:left="0" w:right="0" w:hanging="720"/>
              <w:jc w:val="right"/>
              <w:rPr/>
            </w:pPr>
            <w:r>
              <w:rPr/>
              <w:t>85</w:t>
            </w:r>
          </w:p>
        </w:tc>
      </w:tr>
      <w:tr>
        <w:trPr/>
        <w:tc>
          <w:tcPr>
            <w:tcW w:w="7805" w:type="dxa"/>
            <w:tcBorders/>
            <w:vAlign w:val="center"/>
          </w:tcPr>
          <w:p>
            <w:pPr>
              <w:pStyle w:val="TableContents"/>
              <w:bidi w:val="0"/>
              <w:spacing w:before="0" w:after="283"/>
              <w:jc w:val="left"/>
              <w:rPr/>
            </w:pPr>
            <w:r>
              <w:rPr/>
              <w:t>Section 2.22   Incremental Facilities.</w:t>
            </w:r>
          </w:p>
        </w:tc>
        <w:tc>
          <w:tcPr>
            <w:tcW w:w="275" w:type="dxa"/>
            <w:tcBorders/>
            <w:vAlign w:val="center"/>
          </w:tcPr>
          <w:p>
            <w:pPr>
              <w:pStyle w:val="TableContents"/>
              <w:bidi w:val="0"/>
              <w:spacing w:before="0" w:after="283"/>
              <w:ind w:left="0" w:right="0" w:hanging="720"/>
              <w:jc w:val="right"/>
              <w:rPr/>
            </w:pPr>
            <w:r>
              <w:rPr/>
              <w:t>88</w:t>
            </w:r>
          </w:p>
        </w:tc>
      </w:tr>
      <w:tr>
        <w:trPr/>
        <w:tc>
          <w:tcPr>
            <w:tcW w:w="7805" w:type="dxa"/>
            <w:tcBorders/>
            <w:vAlign w:val="center"/>
          </w:tcPr>
          <w:p>
            <w:pPr>
              <w:pStyle w:val="TableContents"/>
              <w:bidi w:val="0"/>
              <w:spacing w:before="0" w:after="283"/>
              <w:jc w:val="left"/>
              <w:rPr/>
            </w:pPr>
            <w:r>
              <w:rPr/>
              <w:t>Section 2.23   Refinancing Amendments; Maturity Extension.</w:t>
            </w:r>
          </w:p>
        </w:tc>
        <w:tc>
          <w:tcPr>
            <w:tcW w:w="275" w:type="dxa"/>
            <w:tcBorders/>
            <w:vAlign w:val="center"/>
          </w:tcPr>
          <w:p>
            <w:pPr>
              <w:pStyle w:val="TableContents"/>
              <w:bidi w:val="0"/>
              <w:spacing w:before="0" w:after="283"/>
              <w:ind w:left="0" w:right="0" w:hanging="1728"/>
              <w:jc w:val="right"/>
              <w:rPr/>
            </w:pPr>
            <w:r>
              <w:rPr/>
              <w:t>93</w:t>
            </w:r>
          </w:p>
        </w:tc>
      </w:tr>
      <w:tr>
        <w:trPr/>
        <w:tc>
          <w:tcPr>
            <w:tcW w:w="7805" w:type="dxa"/>
            <w:tcBorders/>
            <w:vAlign w:val="center"/>
          </w:tcPr>
          <w:p>
            <w:pPr>
              <w:pStyle w:val="TableContents"/>
              <w:bidi w:val="0"/>
              <w:spacing w:before="0" w:after="283"/>
              <w:jc w:val="left"/>
              <w:rPr/>
            </w:pPr>
            <w:r>
              <w:rPr/>
              <w:t>Article III REPRESENTATIONS AND WARRANTIES</w:t>
            </w:r>
          </w:p>
        </w:tc>
        <w:tc>
          <w:tcPr>
            <w:tcW w:w="275" w:type="dxa"/>
            <w:tcBorders/>
            <w:vAlign w:val="center"/>
          </w:tcPr>
          <w:p>
            <w:pPr>
              <w:pStyle w:val="TableContents"/>
              <w:bidi w:val="0"/>
              <w:spacing w:before="0" w:after="283"/>
              <w:ind w:left="0" w:right="0" w:hanging="720"/>
              <w:jc w:val="right"/>
              <w:rPr/>
            </w:pPr>
            <w:r>
              <w:rPr/>
              <w:t>97</w:t>
            </w:r>
          </w:p>
        </w:tc>
      </w:tr>
      <w:tr>
        <w:trPr/>
        <w:tc>
          <w:tcPr>
            <w:tcW w:w="7805" w:type="dxa"/>
            <w:tcBorders/>
            <w:vAlign w:val="center"/>
          </w:tcPr>
          <w:p>
            <w:pPr>
              <w:pStyle w:val="TableContents"/>
              <w:bidi w:val="0"/>
              <w:spacing w:before="0" w:after="283"/>
              <w:jc w:val="left"/>
              <w:rPr/>
            </w:pPr>
            <w:r>
              <w:rPr/>
              <w:t>Section 3.1   Financial Condition.</w:t>
            </w:r>
          </w:p>
        </w:tc>
        <w:tc>
          <w:tcPr>
            <w:tcW w:w="275" w:type="dxa"/>
            <w:tcBorders/>
            <w:vAlign w:val="center"/>
          </w:tcPr>
          <w:p>
            <w:pPr>
              <w:pStyle w:val="TableContents"/>
              <w:bidi w:val="0"/>
              <w:spacing w:before="0" w:after="283"/>
              <w:ind w:left="0" w:right="0" w:hanging="720"/>
              <w:jc w:val="right"/>
              <w:rPr/>
            </w:pPr>
            <w:r>
              <w:rPr/>
              <w:t>97</w:t>
            </w:r>
          </w:p>
        </w:tc>
      </w:tr>
      <w:tr>
        <w:trPr/>
        <w:tc>
          <w:tcPr>
            <w:tcW w:w="7805" w:type="dxa"/>
            <w:tcBorders/>
            <w:vAlign w:val="center"/>
          </w:tcPr>
          <w:p>
            <w:pPr>
              <w:pStyle w:val="TableContents"/>
              <w:bidi w:val="0"/>
              <w:spacing w:before="0" w:after="283"/>
              <w:jc w:val="left"/>
              <w:rPr/>
            </w:pPr>
            <w:r>
              <w:rPr/>
              <w:t>Section 3.2   No Material Adverse Effect.</w:t>
            </w:r>
          </w:p>
        </w:tc>
        <w:tc>
          <w:tcPr>
            <w:tcW w:w="275" w:type="dxa"/>
            <w:tcBorders/>
            <w:vAlign w:val="center"/>
          </w:tcPr>
          <w:p>
            <w:pPr>
              <w:pStyle w:val="TableContents"/>
              <w:bidi w:val="0"/>
              <w:spacing w:before="0" w:after="283"/>
              <w:ind w:left="0" w:right="0" w:hanging="720"/>
              <w:jc w:val="right"/>
              <w:rPr/>
            </w:pPr>
            <w:r>
              <w:rPr/>
              <w:t>98</w:t>
            </w:r>
          </w:p>
        </w:tc>
      </w:tr>
      <w:tr>
        <w:trPr/>
        <w:tc>
          <w:tcPr>
            <w:tcW w:w="7805" w:type="dxa"/>
            <w:tcBorders/>
            <w:vAlign w:val="center"/>
          </w:tcPr>
          <w:p>
            <w:pPr>
              <w:pStyle w:val="TableContents"/>
              <w:bidi w:val="0"/>
              <w:spacing w:before="0" w:after="283"/>
              <w:jc w:val="left"/>
              <w:rPr/>
            </w:pPr>
            <w:r>
              <w:rPr/>
              <w:t>Section 3.3   Corporate Existence; Compliance with Law; Patriot Act Information.</w:t>
            </w:r>
          </w:p>
        </w:tc>
        <w:tc>
          <w:tcPr>
            <w:tcW w:w="275" w:type="dxa"/>
            <w:tcBorders/>
            <w:vAlign w:val="center"/>
          </w:tcPr>
          <w:p>
            <w:pPr>
              <w:pStyle w:val="TableContents"/>
              <w:bidi w:val="0"/>
              <w:spacing w:before="0" w:after="283"/>
              <w:ind w:left="0" w:right="0" w:hanging="720"/>
              <w:jc w:val="right"/>
              <w:rPr/>
            </w:pPr>
            <w:r>
              <w:rPr/>
              <w:t>98</w:t>
            </w:r>
          </w:p>
        </w:tc>
      </w:tr>
      <w:tr>
        <w:trPr/>
        <w:tc>
          <w:tcPr>
            <w:tcW w:w="7805" w:type="dxa"/>
            <w:tcBorders/>
            <w:vAlign w:val="center"/>
          </w:tcPr>
          <w:p>
            <w:pPr>
              <w:pStyle w:val="TableContents"/>
              <w:bidi w:val="0"/>
              <w:spacing w:before="0" w:after="283"/>
              <w:jc w:val="left"/>
              <w:rPr/>
            </w:pPr>
            <w:r>
              <w:rPr/>
              <w:t>Section 3.4   Corporate Power; Authorization; Enforceable Obligations.</w:t>
            </w:r>
          </w:p>
        </w:tc>
        <w:tc>
          <w:tcPr>
            <w:tcW w:w="275" w:type="dxa"/>
            <w:tcBorders/>
            <w:vAlign w:val="center"/>
          </w:tcPr>
          <w:p>
            <w:pPr>
              <w:pStyle w:val="TableContents"/>
              <w:bidi w:val="0"/>
              <w:spacing w:before="0" w:after="283"/>
              <w:ind w:left="0" w:right="0" w:hanging="720"/>
              <w:jc w:val="right"/>
              <w:rPr/>
            </w:pPr>
            <w:r>
              <w:rPr/>
              <w:t>98</w:t>
            </w:r>
          </w:p>
        </w:tc>
      </w:tr>
      <w:tr>
        <w:trPr/>
        <w:tc>
          <w:tcPr>
            <w:tcW w:w="7805" w:type="dxa"/>
            <w:tcBorders/>
            <w:vAlign w:val="center"/>
          </w:tcPr>
          <w:p>
            <w:pPr>
              <w:pStyle w:val="TableContents"/>
              <w:bidi w:val="0"/>
              <w:spacing w:before="0" w:after="283"/>
              <w:jc w:val="left"/>
              <w:rPr/>
            </w:pPr>
            <w:r>
              <w:rPr/>
              <w:t>Section 3.5   No Legal Bar; No Default.</w:t>
            </w:r>
          </w:p>
        </w:tc>
        <w:tc>
          <w:tcPr>
            <w:tcW w:w="275" w:type="dxa"/>
            <w:tcBorders/>
            <w:vAlign w:val="center"/>
          </w:tcPr>
          <w:p>
            <w:pPr>
              <w:pStyle w:val="TableContents"/>
              <w:bidi w:val="0"/>
              <w:spacing w:before="0" w:after="283"/>
              <w:ind w:left="0" w:right="0" w:hanging="720"/>
              <w:jc w:val="right"/>
              <w:rPr/>
            </w:pPr>
            <w:r>
              <w:rPr/>
              <w:t>99</w:t>
            </w:r>
          </w:p>
        </w:tc>
      </w:tr>
      <w:tr>
        <w:trPr/>
        <w:tc>
          <w:tcPr>
            <w:tcW w:w="7805" w:type="dxa"/>
            <w:tcBorders/>
            <w:vAlign w:val="center"/>
          </w:tcPr>
          <w:p>
            <w:pPr>
              <w:pStyle w:val="TableContents"/>
              <w:bidi w:val="0"/>
              <w:spacing w:before="0" w:after="283"/>
              <w:jc w:val="left"/>
              <w:rPr/>
            </w:pPr>
            <w:r>
              <w:rPr/>
              <w:t>Section 3.6   No Material Litigation.</w:t>
            </w:r>
          </w:p>
        </w:tc>
        <w:tc>
          <w:tcPr>
            <w:tcW w:w="275" w:type="dxa"/>
            <w:tcBorders/>
            <w:vAlign w:val="center"/>
          </w:tcPr>
          <w:p>
            <w:pPr>
              <w:pStyle w:val="TableContents"/>
              <w:bidi w:val="0"/>
              <w:spacing w:before="0" w:after="283"/>
              <w:jc w:val="right"/>
              <w:rPr/>
            </w:pPr>
            <w:r>
              <w:rPr/>
              <w:t>99</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 </w:t>
      </w:r>
    </w:p>
    <w:p>
      <w:pPr>
        <w:pStyle w:val="TextBody"/>
        <w:bidi w:val="0"/>
        <w:spacing w:before="0" w:after="0"/>
        <w:ind w:left="0" w:right="0" w:hanging="0"/>
        <w:jc w:val="left"/>
        <w:rPr/>
      </w:pPr>
      <w:r>
        <w:rPr/>
        <w:t> </w:t>
      </w:r>
    </w:p>
    <w:tbl>
      <w:tblPr>
        <w:tblW w:w="8695" w:type="dxa"/>
        <w:jc w:val="left"/>
        <w:tblInd w:w="0" w:type="dxa"/>
        <w:tblLayout w:type="fixed"/>
        <w:tblCellMar>
          <w:top w:w="0" w:type="dxa"/>
          <w:left w:w="0" w:type="dxa"/>
          <w:bottom w:w="0" w:type="dxa"/>
          <w:right w:w="0" w:type="dxa"/>
        </w:tblCellMar>
      </w:tblPr>
      <w:tblGrid>
        <w:gridCol w:w="8300"/>
        <w:gridCol w:w="395"/>
      </w:tblGrid>
      <w:tr>
        <w:trPr/>
        <w:tc>
          <w:tcPr>
            <w:tcW w:w="8300" w:type="dxa"/>
            <w:tcBorders/>
            <w:vAlign w:val="center"/>
          </w:tcPr>
          <w:p>
            <w:pPr>
              <w:pStyle w:val="TableContents"/>
              <w:bidi w:val="0"/>
              <w:spacing w:before="0" w:after="283"/>
              <w:ind w:left="0" w:right="0" w:hanging="720"/>
              <w:jc w:val="left"/>
              <w:rPr/>
            </w:pPr>
            <w:r>
              <w:rPr/>
              <w:t>Section 3.7   Investment Company Act; etc.</w:t>
            </w:r>
          </w:p>
        </w:tc>
        <w:tc>
          <w:tcPr>
            <w:tcW w:w="395" w:type="dxa"/>
            <w:tcBorders/>
            <w:vAlign w:val="center"/>
          </w:tcPr>
          <w:p>
            <w:pPr>
              <w:pStyle w:val="TableContents"/>
              <w:bidi w:val="0"/>
              <w:spacing w:before="0" w:after="283"/>
              <w:ind w:left="0" w:right="0" w:hanging="720"/>
              <w:jc w:val="right"/>
              <w:rPr/>
            </w:pPr>
            <w:r>
              <w:rPr/>
              <w:t>99</w:t>
            </w:r>
          </w:p>
        </w:tc>
      </w:tr>
      <w:tr>
        <w:trPr/>
        <w:tc>
          <w:tcPr>
            <w:tcW w:w="8300" w:type="dxa"/>
            <w:tcBorders/>
            <w:vAlign w:val="center"/>
          </w:tcPr>
          <w:p>
            <w:pPr>
              <w:pStyle w:val="TableContents"/>
              <w:bidi w:val="0"/>
              <w:spacing w:before="0" w:after="283"/>
              <w:jc w:val="left"/>
              <w:rPr/>
            </w:pPr>
            <w:r>
              <w:rPr/>
              <w:t>Section 3.8   Margin Regulations.</w:t>
            </w:r>
          </w:p>
        </w:tc>
        <w:tc>
          <w:tcPr>
            <w:tcW w:w="395" w:type="dxa"/>
            <w:tcBorders/>
            <w:vAlign w:val="center"/>
          </w:tcPr>
          <w:p>
            <w:pPr>
              <w:pStyle w:val="TableContents"/>
              <w:bidi w:val="0"/>
              <w:spacing w:before="0" w:after="283"/>
              <w:ind w:left="0" w:right="0" w:hanging="720"/>
              <w:jc w:val="right"/>
              <w:rPr/>
            </w:pPr>
            <w:r>
              <w:rPr/>
              <w:t>99</w:t>
            </w:r>
          </w:p>
        </w:tc>
      </w:tr>
      <w:tr>
        <w:trPr/>
        <w:tc>
          <w:tcPr>
            <w:tcW w:w="8300" w:type="dxa"/>
            <w:tcBorders/>
            <w:vAlign w:val="center"/>
          </w:tcPr>
          <w:p>
            <w:pPr>
              <w:pStyle w:val="TableContents"/>
              <w:bidi w:val="0"/>
              <w:spacing w:before="0" w:after="283"/>
              <w:jc w:val="left"/>
              <w:rPr/>
            </w:pPr>
            <w:r>
              <w:rPr/>
              <w:t>Section 3.9   ERISA.</w:t>
            </w:r>
          </w:p>
        </w:tc>
        <w:tc>
          <w:tcPr>
            <w:tcW w:w="395" w:type="dxa"/>
            <w:tcBorders/>
            <w:vAlign w:val="center"/>
          </w:tcPr>
          <w:p>
            <w:pPr>
              <w:pStyle w:val="TableContents"/>
              <w:bidi w:val="0"/>
              <w:spacing w:before="0" w:after="283"/>
              <w:ind w:left="0" w:right="0" w:hanging="720"/>
              <w:jc w:val="right"/>
              <w:rPr/>
            </w:pPr>
            <w:r>
              <w:rPr/>
              <w:t>100</w:t>
            </w:r>
          </w:p>
        </w:tc>
      </w:tr>
      <w:tr>
        <w:trPr/>
        <w:tc>
          <w:tcPr>
            <w:tcW w:w="8300" w:type="dxa"/>
            <w:tcBorders/>
            <w:vAlign w:val="center"/>
          </w:tcPr>
          <w:p>
            <w:pPr>
              <w:pStyle w:val="TableContents"/>
              <w:bidi w:val="0"/>
              <w:spacing w:before="0" w:after="283"/>
              <w:jc w:val="left"/>
              <w:rPr/>
            </w:pPr>
            <w:r>
              <w:rPr/>
              <w:t>Section 3.10   Environmental Matters.</w:t>
            </w:r>
          </w:p>
        </w:tc>
        <w:tc>
          <w:tcPr>
            <w:tcW w:w="395" w:type="dxa"/>
            <w:tcBorders/>
            <w:vAlign w:val="center"/>
          </w:tcPr>
          <w:p>
            <w:pPr>
              <w:pStyle w:val="TableContents"/>
              <w:bidi w:val="0"/>
              <w:spacing w:before="0" w:after="283"/>
              <w:ind w:left="0" w:right="0" w:hanging="720"/>
              <w:jc w:val="right"/>
              <w:rPr/>
            </w:pPr>
            <w:r>
              <w:rPr/>
              <w:t>100</w:t>
            </w:r>
          </w:p>
        </w:tc>
      </w:tr>
      <w:tr>
        <w:trPr/>
        <w:tc>
          <w:tcPr>
            <w:tcW w:w="8300" w:type="dxa"/>
            <w:tcBorders/>
            <w:vAlign w:val="center"/>
          </w:tcPr>
          <w:p>
            <w:pPr>
              <w:pStyle w:val="TableContents"/>
              <w:bidi w:val="0"/>
              <w:spacing w:before="0" w:after="283"/>
              <w:jc w:val="left"/>
              <w:rPr/>
            </w:pPr>
            <w:r>
              <w:rPr/>
              <w:t>Section 3.11   Use of Proceeds.</w:t>
            </w:r>
          </w:p>
        </w:tc>
        <w:tc>
          <w:tcPr>
            <w:tcW w:w="395" w:type="dxa"/>
            <w:tcBorders/>
            <w:vAlign w:val="center"/>
          </w:tcPr>
          <w:p>
            <w:pPr>
              <w:pStyle w:val="TableContents"/>
              <w:bidi w:val="0"/>
              <w:spacing w:before="0" w:after="283"/>
              <w:ind w:left="0" w:right="0" w:hanging="720"/>
              <w:jc w:val="right"/>
              <w:rPr/>
            </w:pPr>
            <w:r>
              <w:rPr/>
              <w:t>101</w:t>
            </w:r>
          </w:p>
        </w:tc>
      </w:tr>
      <w:tr>
        <w:trPr/>
        <w:tc>
          <w:tcPr>
            <w:tcW w:w="8300" w:type="dxa"/>
            <w:tcBorders/>
            <w:vAlign w:val="center"/>
          </w:tcPr>
          <w:p>
            <w:pPr>
              <w:pStyle w:val="TableContents"/>
              <w:bidi w:val="0"/>
              <w:spacing w:before="0" w:after="283"/>
              <w:jc w:val="left"/>
              <w:rPr/>
            </w:pPr>
            <w:r>
              <w:rPr/>
              <w:t>Section 3.12   Subsidiaries; Joint Ventures; Partnerships.</w:t>
            </w:r>
          </w:p>
        </w:tc>
        <w:tc>
          <w:tcPr>
            <w:tcW w:w="395" w:type="dxa"/>
            <w:tcBorders/>
            <w:vAlign w:val="center"/>
          </w:tcPr>
          <w:p>
            <w:pPr>
              <w:pStyle w:val="TableContents"/>
              <w:bidi w:val="0"/>
              <w:spacing w:before="0" w:after="283"/>
              <w:ind w:left="0" w:right="0" w:hanging="720"/>
              <w:jc w:val="right"/>
              <w:rPr/>
            </w:pPr>
            <w:r>
              <w:rPr/>
              <w:t>101</w:t>
            </w:r>
          </w:p>
        </w:tc>
      </w:tr>
      <w:tr>
        <w:trPr/>
        <w:tc>
          <w:tcPr>
            <w:tcW w:w="8300" w:type="dxa"/>
            <w:tcBorders/>
            <w:vAlign w:val="center"/>
          </w:tcPr>
          <w:p>
            <w:pPr>
              <w:pStyle w:val="TableContents"/>
              <w:bidi w:val="0"/>
              <w:spacing w:before="0" w:after="283"/>
              <w:jc w:val="left"/>
              <w:rPr/>
            </w:pPr>
            <w:r>
              <w:rPr/>
              <w:t>Section 3.13   Ownership.</w:t>
            </w:r>
          </w:p>
        </w:tc>
        <w:tc>
          <w:tcPr>
            <w:tcW w:w="395" w:type="dxa"/>
            <w:tcBorders/>
            <w:vAlign w:val="center"/>
          </w:tcPr>
          <w:p>
            <w:pPr>
              <w:pStyle w:val="TableContents"/>
              <w:bidi w:val="0"/>
              <w:spacing w:before="0" w:after="283"/>
              <w:ind w:left="0" w:right="0" w:hanging="720"/>
              <w:jc w:val="right"/>
              <w:rPr/>
            </w:pPr>
            <w:r>
              <w:rPr/>
              <w:t>102</w:t>
            </w:r>
          </w:p>
        </w:tc>
      </w:tr>
      <w:tr>
        <w:trPr/>
        <w:tc>
          <w:tcPr>
            <w:tcW w:w="8300" w:type="dxa"/>
            <w:tcBorders/>
            <w:vAlign w:val="center"/>
          </w:tcPr>
          <w:p>
            <w:pPr>
              <w:pStyle w:val="TableContents"/>
              <w:bidi w:val="0"/>
              <w:spacing w:before="0" w:after="283"/>
              <w:jc w:val="left"/>
              <w:rPr/>
            </w:pPr>
            <w:r>
              <w:rPr/>
              <w:t>Section 3.14   Consent; Governmental Authorizations.</w:t>
            </w:r>
          </w:p>
        </w:tc>
        <w:tc>
          <w:tcPr>
            <w:tcW w:w="395" w:type="dxa"/>
            <w:tcBorders/>
            <w:vAlign w:val="center"/>
          </w:tcPr>
          <w:p>
            <w:pPr>
              <w:pStyle w:val="TableContents"/>
              <w:bidi w:val="0"/>
              <w:spacing w:before="0" w:after="283"/>
              <w:ind w:left="0" w:right="0" w:hanging="720"/>
              <w:jc w:val="right"/>
              <w:rPr/>
            </w:pPr>
            <w:r>
              <w:rPr/>
              <w:t>102</w:t>
            </w:r>
          </w:p>
        </w:tc>
      </w:tr>
      <w:tr>
        <w:trPr/>
        <w:tc>
          <w:tcPr>
            <w:tcW w:w="8300" w:type="dxa"/>
            <w:tcBorders/>
            <w:vAlign w:val="center"/>
          </w:tcPr>
          <w:p>
            <w:pPr>
              <w:pStyle w:val="TableContents"/>
              <w:bidi w:val="0"/>
              <w:spacing w:before="0" w:after="283"/>
              <w:jc w:val="left"/>
              <w:rPr/>
            </w:pPr>
            <w:r>
              <w:rPr/>
              <w:t>Section 3.15   Taxes.</w:t>
            </w:r>
          </w:p>
        </w:tc>
        <w:tc>
          <w:tcPr>
            <w:tcW w:w="395" w:type="dxa"/>
            <w:tcBorders/>
            <w:vAlign w:val="center"/>
          </w:tcPr>
          <w:p>
            <w:pPr>
              <w:pStyle w:val="TableContents"/>
              <w:bidi w:val="0"/>
              <w:spacing w:before="0" w:after="283"/>
              <w:ind w:left="0" w:right="0" w:hanging="720"/>
              <w:jc w:val="right"/>
              <w:rPr/>
            </w:pPr>
            <w:r>
              <w:rPr/>
              <w:t>102</w:t>
            </w:r>
          </w:p>
        </w:tc>
      </w:tr>
      <w:tr>
        <w:trPr/>
        <w:tc>
          <w:tcPr>
            <w:tcW w:w="8300" w:type="dxa"/>
            <w:tcBorders/>
            <w:vAlign w:val="center"/>
          </w:tcPr>
          <w:p>
            <w:pPr>
              <w:pStyle w:val="TableContents"/>
              <w:bidi w:val="0"/>
              <w:spacing w:before="0" w:after="283"/>
              <w:jc w:val="left"/>
              <w:rPr/>
            </w:pPr>
            <w:r>
              <w:rPr/>
              <w:t>Section 3.16   Collateral Representations.</w:t>
            </w:r>
          </w:p>
        </w:tc>
        <w:tc>
          <w:tcPr>
            <w:tcW w:w="395" w:type="dxa"/>
            <w:tcBorders/>
            <w:vAlign w:val="center"/>
          </w:tcPr>
          <w:p>
            <w:pPr>
              <w:pStyle w:val="TableContents"/>
              <w:bidi w:val="0"/>
              <w:spacing w:before="0" w:after="283"/>
              <w:ind w:left="0" w:right="0" w:hanging="720"/>
              <w:jc w:val="right"/>
              <w:rPr/>
            </w:pPr>
            <w:r>
              <w:rPr/>
              <w:t>102</w:t>
            </w:r>
          </w:p>
        </w:tc>
      </w:tr>
      <w:tr>
        <w:trPr/>
        <w:tc>
          <w:tcPr>
            <w:tcW w:w="8300" w:type="dxa"/>
            <w:tcBorders/>
            <w:vAlign w:val="center"/>
          </w:tcPr>
          <w:p>
            <w:pPr>
              <w:pStyle w:val="TableContents"/>
              <w:bidi w:val="0"/>
              <w:spacing w:before="0" w:after="283"/>
              <w:jc w:val="left"/>
              <w:rPr/>
            </w:pPr>
            <w:r>
              <w:rPr/>
              <w:t>Section 3.17   Solvency.</w:t>
            </w:r>
          </w:p>
        </w:tc>
        <w:tc>
          <w:tcPr>
            <w:tcW w:w="395" w:type="dxa"/>
            <w:tcBorders/>
            <w:vAlign w:val="center"/>
          </w:tcPr>
          <w:p>
            <w:pPr>
              <w:pStyle w:val="TableContents"/>
              <w:bidi w:val="0"/>
              <w:spacing w:before="0" w:after="283"/>
              <w:ind w:left="0" w:right="0" w:hanging="720"/>
              <w:jc w:val="right"/>
              <w:rPr/>
            </w:pPr>
            <w:r>
              <w:rPr/>
              <w:t>103</w:t>
            </w:r>
          </w:p>
        </w:tc>
      </w:tr>
      <w:tr>
        <w:trPr/>
        <w:tc>
          <w:tcPr>
            <w:tcW w:w="8300" w:type="dxa"/>
            <w:tcBorders/>
            <w:vAlign w:val="center"/>
          </w:tcPr>
          <w:p>
            <w:pPr>
              <w:pStyle w:val="TableContents"/>
              <w:bidi w:val="0"/>
              <w:spacing w:before="0" w:after="283"/>
              <w:jc w:val="left"/>
              <w:rPr/>
            </w:pPr>
            <w:r>
              <w:rPr/>
              <w:t>Section 3.18   Compliance with FCPA.</w:t>
            </w:r>
          </w:p>
        </w:tc>
        <w:tc>
          <w:tcPr>
            <w:tcW w:w="395" w:type="dxa"/>
            <w:tcBorders/>
            <w:vAlign w:val="center"/>
          </w:tcPr>
          <w:p>
            <w:pPr>
              <w:pStyle w:val="TableContents"/>
              <w:bidi w:val="0"/>
              <w:spacing w:before="0" w:after="283"/>
              <w:ind w:left="0" w:right="0" w:hanging="720"/>
              <w:jc w:val="right"/>
              <w:rPr/>
            </w:pPr>
            <w:r>
              <w:rPr/>
              <w:t>103</w:t>
            </w:r>
          </w:p>
        </w:tc>
      </w:tr>
      <w:tr>
        <w:trPr/>
        <w:tc>
          <w:tcPr>
            <w:tcW w:w="8300" w:type="dxa"/>
            <w:tcBorders/>
            <w:vAlign w:val="center"/>
          </w:tcPr>
          <w:p>
            <w:pPr>
              <w:pStyle w:val="TableContents"/>
              <w:bidi w:val="0"/>
              <w:spacing w:before="0" w:after="283"/>
              <w:jc w:val="left"/>
              <w:rPr/>
            </w:pPr>
            <w:r>
              <w:rPr/>
              <w:t>Section 3.19   [Reserved].</w:t>
            </w:r>
          </w:p>
        </w:tc>
        <w:tc>
          <w:tcPr>
            <w:tcW w:w="395" w:type="dxa"/>
            <w:tcBorders/>
            <w:vAlign w:val="center"/>
          </w:tcPr>
          <w:p>
            <w:pPr>
              <w:pStyle w:val="TableContents"/>
              <w:bidi w:val="0"/>
              <w:spacing w:before="0" w:after="283"/>
              <w:ind w:left="0" w:right="0" w:hanging="720"/>
              <w:jc w:val="right"/>
              <w:rPr/>
            </w:pPr>
            <w:r>
              <w:rPr/>
              <w:t>104</w:t>
            </w:r>
          </w:p>
        </w:tc>
      </w:tr>
      <w:tr>
        <w:trPr/>
        <w:tc>
          <w:tcPr>
            <w:tcW w:w="8300" w:type="dxa"/>
            <w:tcBorders/>
            <w:vAlign w:val="center"/>
          </w:tcPr>
          <w:p>
            <w:pPr>
              <w:pStyle w:val="TableContents"/>
              <w:bidi w:val="0"/>
              <w:spacing w:before="0" w:after="283"/>
              <w:jc w:val="left"/>
              <w:rPr/>
            </w:pPr>
            <w:r>
              <w:rPr/>
              <w:t>Section 3.20   [Reserved].</w:t>
            </w:r>
          </w:p>
        </w:tc>
        <w:tc>
          <w:tcPr>
            <w:tcW w:w="395" w:type="dxa"/>
            <w:tcBorders/>
            <w:vAlign w:val="center"/>
          </w:tcPr>
          <w:p>
            <w:pPr>
              <w:pStyle w:val="TableContents"/>
              <w:bidi w:val="0"/>
              <w:spacing w:before="0" w:after="283"/>
              <w:ind w:left="0" w:right="0" w:hanging="720"/>
              <w:jc w:val="right"/>
              <w:rPr/>
            </w:pPr>
            <w:r>
              <w:rPr/>
              <w:t>104</w:t>
            </w:r>
          </w:p>
        </w:tc>
      </w:tr>
      <w:tr>
        <w:trPr/>
        <w:tc>
          <w:tcPr>
            <w:tcW w:w="8300" w:type="dxa"/>
            <w:tcBorders/>
            <w:vAlign w:val="center"/>
          </w:tcPr>
          <w:p>
            <w:pPr>
              <w:pStyle w:val="TableContents"/>
              <w:bidi w:val="0"/>
              <w:spacing w:before="0" w:after="283"/>
              <w:jc w:val="left"/>
              <w:rPr/>
            </w:pPr>
            <w:r>
              <w:rPr/>
              <w:t>Section 3.21   Labor Matters.</w:t>
            </w:r>
          </w:p>
        </w:tc>
        <w:tc>
          <w:tcPr>
            <w:tcW w:w="395" w:type="dxa"/>
            <w:tcBorders/>
            <w:vAlign w:val="center"/>
          </w:tcPr>
          <w:p>
            <w:pPr>
              <w:pStyle w:val="TableContents"/>
              <w:bidi w:val="0"/>
              <w:spacing w:before="0" w:after="283"/>
              <w:ind w:left="0" w:right="0" w:hanging="720"/>
              <w:jc w:val="right"/>
              <w:rPr/>
            </w:pPr>
            <w:r>
              <w:rPr/>
              <w:t>104</w:t>
            </w:r>
          </w:p>
        </w:tc>
      </w:tr>
      <w:tr>
        <w:trPr/>
        <w:tc>
          <w:tcPr>
            <w:tcW w:w="8300" w:type="dxa"/>
            <w:tcBorders/>
            <w:vAlign w:val="center"/>
          </w:tcPr>
          <w:p>
            <w:pPr>
              <w:pStyle w:val="TableContents"/>
              <w:bidi w:val="0"/>
              <w:spacing w:before="0" w:after="283"/>
              <w:jc w:val="left"/>
              <w:rPr/>
            </w:pPr>
            <w:r>
              <w:rPr/>
              <w:t>Section 3.22   Accuracy and Completeness of Information.</w:t>
            </w:r>
          </w:p>
        </w:tc>
        <w:tc>
          <w:tcPr>
            <w:tcW w:w="395" w:type="dxa"/>
            <w:tcBorders/>
            <w:vAlign w:val="center"/>
          </w:tcPr>
          <w:p>
            <w:pPr>
              <w:pStyle w:val="TableContents"/>
              <w:bidi w:val="0"/>
              <w:spacing w:before="0" w:after="283"/>
              <w:ind w:left="0" w:right="0" w:hanging="720"/>
              <w:jc w:val="right"/>
              <w:rPr/>
            </w:pPr>
            <w:r>
              <w:rPr/>
              <w:t>104</w:t>
            </w:r>
          </w:p>
        </w:tc>
      </w:tr>
      <w:tr>
        <w:trPr/>
        <w:tc>
          <w:tcPr>
            <w:tcW w:w="8300" w:type="dxa"/>
            <w:tcBorders/>
            <w:vAlign w:val="center"/>
          </w:tcPr>
          <w:p>
            <w:pPr>
              <w:pStyle w:val="TableContents"/>
              <w:bidi w:val="0"/>
              <w:spacing w:before="0" w:after="283"/>
              <w:jc w:val="left"/>
              <w:rPr/>
            </w:pPr>
            <w:r>
              <w:rPr/>
              <w:t>Section 3.23   [Reserved].</w:t>
            </w:r>
          </w:p>
        </w:tc>
        <w:tc>
          <w:tcPr>
            <w:tcW w:w="395" w:type="dxa"/>
            <w:tcBorders/>
            <w:vAlign w:val="center"/>
          </w:tcPr>
          <w:p>
            <w:pPr>
              <w:pStyle w:val="TableContents"/>
              <w:bidi w:val="0"/>
              <w:spacing w:before="0" w:after="283"/>
              <w:ind w:left="0" w:right="0" w:hanging="720"/>
              <w:jc w:val="right"/>
              <w:rPr/>
            </w:pPr>
            <w:r>
              <w:rPr/>
              <w:t>104</w:t>
            </w:r>
          </w:p>
        </w:tc>
      </w:tr>
      <w:tr>
        <w:trPr/>
        <w:tc>
          <w:tcPr>
            <w:tcW w:w="8300" w:type="dxa"/>
            <w:tcBorders/>
            <w:vAlign w:val="center"/>
          </w:tcPr>
          <w:p>
            <w:pPr>
              <w:pStyle w:val="TableContents"/>
              <w:bidi w:val="0"/>
              <w:spacing w:before="0" w:after="283"/>
              <w:jc w:val="left"/>
              <w:rPr/>
            </w:pPr>
            <w:r>
              <w:rPr/>
              <w:t>Section 3.24   Insurance.</w:t>
            </w:r>
          </w:p>
        </w:tc>
        <w:tc>
          <w:tcPr>
            <w:tcW w:w="395" w:type="dxa"/>
            <w:tcBorders/>
            <w:vAlign w:val="center"/>
          </w:tcPr>
          <w:p>
            <w:pPr>
              <w:pStyle w:val="TableContents"/>
              <w:bidi w:val="0"/>
              <w:spacing w:before="0" w:after="283"/>
              <w:ind w:left="0" w:right="0" w:hanging="720"/>
              <w:jc w:val="right"/>
              <w:rPr/>
            </w:pPr>
            <w:r>
              <w:rPr/>
              <w:t>104</w:t>
            </w:r>
          </w:p>
        </w:tc>
      </w:tr>
      <w:tr>
        <w:trPr/>
        <w:tc>
          <w:tcPr>
            <w:tcW w:w="8300" w:type="dxa"/>
            <w:tcBorders/>
            <w:vAlign w:val="center"/>
          </w:tcPr>
          <w:p>
            <w:pPr>
              <w:pStyle w:val="TableContents"/>
              <w:bidi w:val="0"/>
              <w:spacing w:before="0" w:after="283"/>
              <w:jc w:val="left"/>
              <w:rPr/>
            </w:pPr>
            <w:r>
              <w:rPr/>
              <w:t>Section 3.25   Security Documents.</w:t>
            </w:r>
          </w:p>
        </w:tc>
        <w:tc>
          <w:tcPr>
            <w:tcW w:w="395" w:type="dxa"/>
            <w:tcBorders/>
            <w:vAlign w:val="center"/>
          </w:tcPr>
          <w:p>
            <w:pPr>
              <w:pStyle w:val="TableContents"/>
              <w:bidi w:val="0"/>
              <w:spacing w:before="0" w:after="283"/>
              <w:ind w:left="0" w:right="0" w:hanging="720"/>
              <w:jc w:val="right"/>
              <w:rPr/>
            </w:pPr>
            <w:r>
              <w:rPr/>
              <w:t>105</w:t>
            </w:r>
          </w:p>
        </w:tc>
      </w:tr>
      <w:tr>
        <w:trPr/>
        <w:tc>
          <w:tcPr>
            <w:tcW w:w="8300" w:type="dxa"/>
            <w:tcBorders/>
            <w:vAlign w:val="center"/>
          </w:tcPr>
          <w:p>
            <w:pPr>
              <w:pStyle w:val="TableContents"/>
              <w:bidi w:val="0"/>
              <w:spacing w:before="0" w:after="283"/>
              <w:jc w:val="left"/>
              <w:rPr/>
            </w:pPr>
            <w:r>
              <w:rPr/>
              <w:t>Section 3.26   Classification of Senior Indebtedness.</w:t>
            </w:r>
          </w:p>
        </w:tc>
        <w:tc>
          <w:tcPr>
            <w:tcW w:w="395" w:type="dxa"/>
            <w:tcBorders/>
            <w:vAlign w:val="center"/>
          </w:tcPr>
          <w:p>
            <w:pPr>
              <w:pStyle w:val="TableContents"/>
              <w:bidi w:val="0"/>
              <w:spacing w:before="0" w:after="283"/>
              <w:ind w:left="0" w:right="0" w:hanging="720"/>
              <w:jc w:val="right"/>
              <w:rPr/>
            </w:pPr>
            <w:r>
              <w:rPr/>
              <w:t>105</w:t>
            </w:r>
          </w:p>
        </w:tc>
      </w:tr>
      <w:tr>
        <w:trPr/>
        <w:tc>
          <w:tcPr>
            <w:tcW w:w="8300" w:type="dxa"/>
            <w:tcBorders/>
            <w:vAlign w:val="center"/>
          </w:tcPr>
          <w:p>
            <w:pPr>
              <w:pStyle w:val="TableContents"/>
              <w:bidi w:val="0"/>
              <w:spacing w:before="0" w:after="283"/>
              <w:jc w:val="left"/>
              <w:rPr/>
            </w:pPr>
            <w:r>
              <w:rPr/>
              <w:t>Section 3.27   Anti-Terrorism Laws; OFAC Rules and Regulations.</w:t>
            </w:r>
          </w:p>
        </w:tc>
        <w:tc>
          <w:tcPr>
            <w:tcW w:w="395" w:type="dxa"/>
            <w:tcBorders/>
            <w:vAlign w:val="center"/>
          </w:tcPr>
          <w:p>
            <w:pPr>
              <w:pStyle w:val="TableContents"/>
              <w:bidi w:val="0"/>
              <w:spacing w:before="0" w:after="283"/>
              <w:ind w:left="0" w:right="0" w:hanging="720"/>
              <w:jc w:val="right"/>
              <w:rPr/>
            </w:pPr>
            <w:r>
              <w:rPr/>
              <w:t>105</w:t>
            </w:r>
          </w:p>
        </w:tc>
      </w:tr>
      <w:tr>
        <w:trPr/>
        <w:tc>
          <w:tcPr>
            <w:tcW w:w="8300" w:type="dxa"/>
            <w:tcBorders/>
            <w:vAlign w:val="center"/>
          </w:tcPr>
          <w:p>
            <w:pPr>
              <w:pStyle w:val="TableContents"/>
              <w:bidi w:val="0"/>
              <w:spacing w:before="0" w:after="283"/>
              <w:jc w:val="left"/>
              <w:rPr/>
            </w:pPr>
            <w:r>
              <w:rPr/>
              <w:t>Section 3.28   [Reserved].</w:t>
            </w:r>
          </w:p>
        </w:tc>
        <w:tc>
          <w:tcPr>
            <w:tcW w:w="395" w:type="dxa"/>
            <w:tcBorders/>
            <w:vAlign w:val="center"/>
          </w:tcPr>
          <w:p>
            <w:pPr>
              <w:pStyle w:val="TableContents"/>
              <w:bidi w:val="0"/>
              <w:spacing w:before="0" w:after="283"/>
              <w:ind w:left="0" w:right="0" w:hanging="720"/>
              <w:jc w:val="right"/>
              <w:rPr/>
            </w:pPr>
            <w:r>
              <w:rPr/>
              <w:t>105</w:t>
            </w:r>
          </w:p>
        </w:tc>
      </w:tr>
      <w:tr>
        <w:trPr/>
        <w:tc>
          <w:tcPr>
            <w:tcW w:w="8300" w:type="dxa"/>
            <w:tcBorders/>
            <w:vAlign w:val="center"/>
          </w:tcPr>
          <w:p>
            <w:pPr>
              <w:pStyle w:val="TableContents"/>
              <w:bidi w:val="0"/>
              <w:spacing w:before="0" w:after="283"/>
              <w:jc w:val="left"/>
              <w:rPr/>
            </w:pPr>
            <w:r>
              <w:rPr/>
              <w:t>Section 3.29   [Reserved].</w:t>
            </w:r>
          </w:p>
        </w:tc>
        <w:tc>
          <w:tcPr>
            <w:tcW w:w="395" w:type="dxa"/>
            <w:tcBorders/>
            <w:vAlign w:val="center"/>
          </w:tcPr>
          <w:p>
            <w:pPr>
              <w:pStyle w:val="TableContents"/>
              <w:bidi w:val="0"/>
              <w:spacing w:before="0" w:after="283"/>
              <w:ind w:left="0" w:right="0" w:hanging="720"/>
              <w:jc w:val="right"/>
              <w:rPr/>
            </w:pPr>
            <w:r>
              <w:rPr/>
              <w:t>105</w:t>
            </w:r>
          </w:p>
        </w:tc>
      </w:tr>
      <w:tr>
        <w:trPr/>
        <w:tc>
          <w:tcPr>
            <w:tcW w:w="8300" w:type="dxa"/>
            <w:tcBorders/>
            <w:vAlign w:val="center"/>
          </w:tcPr>
          <w:p>
            <w:pPr>
              <w:pStyle w:val="TableContents"/>
              <w:bidi w:val="0"/>
              <w:spacing w:before="0" w:after="283"/>
              <w:jc w:val="left"/>
              <w:rPr/>
            </w:pPr>
            <w:r>
              <w:rPr/>
              <w:t>Section 3.30   [Reserved].</w:t>
            </w:r>
          </w:p>
        </w:tc>
        <w:tc>
          <w:tcPr>
            <w:tcW w:w="395" w:type="dxa"/>
            <w:tcBorders/>
            <w:vAlign w:val="center"/>
          </w:tcPr>
          <w:p>
            <w:pPr>
              <w:pStyle w:val="TableContents"/>
              <w:bidi w:val="0"/>
              <w:spacing w:before="0" w:after="283"/>
              <w:ind w:left="0" w:right="0" w:hanging="720"/>
              <w:jc w:val="right"/>
              <w:rPr/>
            </w:pPr>
            <w:r>
              <w:rPr/>
              <w:t>105</w:t>
            </w:r>
          </w:p>
        </w:tc>
      </w:tr>
      <w:tr>
        <w:trPr/>
        <w:tc>
          <w:tcPr>
            <w:tcW w:w="8300" w:type="dxa"/>
            <w:tcBorders/>
            <w:vAlign w:val="center"/>
          </w:tcPr>
          <w:p>
            <w:pPr>
              <w:pStyle w:val="TableContents"/>
              <w:bidi w:val="0"/>
              <w:spacing w:before="0" w:after="283"/>
              <w:jc w:val="left"/>
              <w:rPr/>
            </w:pPr>
            <w:r>
              <w:rPr/>
              <w:t>Section 3.31   Affected Financial Institution.</w:t>
            </w:r>
          </w:p>
        </w:tc>
        <w:tc>
          <w:tcPr>
            <w:tcW w:w="395" w:type="dxa"/>
            <w:tcBorders/>
            <w:vAlign w:val="center"/>
          </w:tcPr>
          <w:p>
            <w:pPr>
              <w:pStyle w:val="TableContents"/>
              <w:bidi w:val="0"/>
              <w:spacing w:before="0" w:after="283"/>
              <w:ind w:left="0" w:right="0" w:hanging="720"/>
              <w:jc w:val="right"/>
              <w:rPr/>
            </w:pPr>
            <w:r>
              <w:rPr/>
              <w:t>106</w:t>
            </w:r>
          </w:p>
        </w:tc>
      </w:tr>
      <w:tr>
        <w:trPr/>
        <w:tc>
          <w:tcPr>
            <w:tcW w:w="8300" w:type="dxa"/>
            <w:tcBorders/>
            <w:vAlign w:val="center"/>
          </w:tcPr>
          <w:p>
            <w:pPr>
              <w:pStyle w:val="TableContents"/>
              <w:bidi w:val="0"/>
              <w:spacing w:before="0" w:after="283"/>
              <w:jc w:val="left"/>
              <w:rPr/>
            </w:pPr>
            <w:r>
              <w:rPr/>
              <w:t>Section 3.32   Trade Relations.</w:t>
            </w:r>
          </w:p>
        </w:tc>
        <w:tc>
          <w:tcPr>
            <w:tcW w:w="395" w:type="dxa"/>
            <w:tcBorders/>
            <w:vAlign w:val="center"/>
          </w:tcPr>
          <w:p>
            <w:pPr>
              <w:pStyle w:val="TableContents"/>
              <w:bidi w:val="0"/>
              <w:spacing w:before="0" w:after="283"/>
              <w:ind w:left="0" w:right="0" w:hanging="720"/>
              <w:jc w:val="right"/>
              <w:rPr/>
            </w:pPr>
            <w:r>
              <w:rPr/>
              <w:t>106</w:t>
            </w:r>
          </w:p>
        </w:tc>
      </w:tr>
      <w:tr>
        <w:trPr/>
        <w:tc>
          <w:tcPr>
            <w:tcW w:w="8300" w:type="dxa"/>
            <w:tcBorders/>
            <w:vAlign w:val="center"/>
          </w:tcPr>
          <w:p>
            <w:pPr>
              <w:pStyle w:val="TableContents"/>
              <w:bidi w:val="0"/>
              <w:spacing w:before="0" w:after="283"/>
              <w:jc w:val="left"/>
              <w:rPr/>
            </w:pPr>
            <w:r>
              <w:rPr/>
              <w:t>Section 3.33   [Reserved]</w:t>
            </w:r>
          </w:p>
        </w:tc>
        <w:tc>
          <w:tcPr>
            <w:tcW w:w="395" w:type="dxa"/>
            <w:tcBorders/>
            <w:vAlign w:val="center"/>
          </w:tcPr>
          <w:p>
            <w:pPr>
              <w:pStyle w:val="TableContents"/>
              <w:bidi w:val="0"/>
              <w:spacing w:before="0" w:after="283"/>
              <w:ind w:left="0" w:right="0" w:hanging="720"/>
              <w:jc w:val="right"/>
              <w:rPr/>
            </w:pPr>
            <w:r>
              <w:rPr/>
              <w:t>106</w:t>
            </w:r>
          </w:p>
        </w:tc>
      </w:tr>
      <w:tr>
        <w:trPr/>
        <w:tc>
          <w:tcPr>
            <w:tcW w:w="8300" w:type="dxa"/>
            <w:tcBorders/>
            <w:vAlign w:val="center"/>
          </w:tcPr>
          <w:p>
            <w:pPr>
              <w:pStyle w:val="TableContents"/>
              <w:bidi w:val="0"/>
              <w:spacing w:before="0" w:after="283"/>
              <w:jc w:val="left"/>
              <w:rPr/>
            </w:pPr>
            <w:r>
              <w:rPr/>
              <w:t>Section 3.34   Health Care Laws and Permits.</w:t>
            </w:r>
          </w:p>
        </w:tc>
        <w:tc>
          <w:tcPr>
            <w:tcW w:w="395" w:type="dxa"/>
            <w:tcBorders/>
            <w:vAlign w:val="center"/>
          </w:tcPr>
          <w:p>
            <w:pPr>
              <w:pStyle w:val="TableContents"/>
              <w:bidi w:val="0"/>
              <w:spacing w:before="0" w:after="283"/>
              <w:ind w:left="0" w:right="0" w:hanging="720"/>
              <w:jc w:val="right"/>
              <w:rPr/>
            </w:pPr>
            <w:r>
              <w:rPr/>
              <w:t>106</w:t>
            </w:r>
          </w:p>
        </w:tc>
      </w:tr>
      <w:tr>
        <w:trPr/>
        <w:tc>
          <w:tcPr>
            <w:tcW w:w="8300" w:type="dxa"/>
            <w:tcBorders/>
            <w:vAlign w:val="center"/>
          </w:tcPr>
          <w:p>
            <w:pPr>
              <w:pStyle w:val="TableContents"/>
              <w:bidi w:val="0"/>
              <w:spacing w:before="0" w:after="283"/>
              <w:jc w:val="left"/>
              <w:rPr/>
            </w:pPr>
            <w:r>
              <w:rPr/>
              <w:t>Section 3.35   Regulatory Matters.</w:t>
            </w:r>
          </w:p>
        </w:tc>
        <w:tc>
          <w:tcPr>
            <w:tcW w:w="395" w:type="dxa"/>
            <w:tcBorders/>
            <w:vAlign w:val="center"/>
          </w:tcPr>
          <w:p>
            <w:pPr>
              <w:pStyle w:val="TableContents"/>
              <w:bidi w:val="0"/>
              <w:spacing w:before="0" w:after="283"/>
              <w:ind w:left="0" w:right="0" w:hanging="1728"/>
              <w:jc w:val="right"/>
              <w:rPr/>
            </w:pPr>
            <w:r>
              <w:rPr/>
              <w:t>107</w:t>
            </w:r>
          </w:p>
        </w:tc>
      </w:tr>
      <w:tr>
        <w:trPr/>
        <w:tc>
          <w:tcPr>
            <w:tcW w:w="8300" w:type="dxa"/>
            <w:tcBorders/>
            <w:vAlign w:val="center"/>
          </w:tcPr>
          <w:p>
            <w:pPr>
              <w:pStyle w:val="TableContents"/>
              <w:bidi w:val="0"/>
              <w:spacing w:before="0" w:after="283"/>
              <w:jc w:val="left"/>
              <w:rPr/>
            </w:pPr>
            <w:r>
              <w:rPr/>
              <w:t>Article IV CONDITIONS PRECEDENT</w:t>
            </w:r>
          </w:p>
        </w:tc>
        <w:tc>
          <w:tcPr>
            <w:tcW w:w="395" w:type="dxa"/>
            <w:tcBorders/>
            <w:vAlign w:val="center"/>
          </w:tcPr>
          <w:p>
            <w:pPr>
              <w:pStyle w:val="TableContents"/>
              <w:bidi w:val="0"/>
              <w:spacing w:before="0" w:after="283"/>
              <w:ind w:left="0" w:right="0" w:hanging="720"/>
              <w:jc w:val="right"/>
              <w:rPr/>
            </w:pPr>
            <w:r>
              <w:rPr/>
              <w:t>108</w:t>
            </w:r>
          </w:p>
        </w:tc>
      </w:tr>
      <w:tr>
        <w:trPr/>
        <w:tc>
          <w:tcPr>
            <w:tcW w:w="8300" w:type="dxa"/>
            <w:tcBorders/>
            <w:vAlign w:val="center"/>
          </w:tcPr>
          <w:p>
            <w:pPr>
              <w:pStyle w:val="TableContents"/>
              <w:bidi w:val="0"/>
              <w:spacing w:before="0" w:after="283"/>
              <w:jc w:val="left"/>
              <w:rPr/>
            </w:pPr>
            <w:r>
              <w:rPr/>
              <w:t>Section 4.1   Conditions to Closing Date.</w:t>
            </w:r>
          </w:p>
        </w:tc>
        <w:tc>
          <w:tcPr>
            <w:tcW w:w="395" w:type="dxa"/>
            <w:tcBorders/>
            <w:vAlign w:val="center"/>
          </w:tcPr>
          <w:p>
            <w:pPr>
              <w:pStyle w:val="TableContents"/>
              <w:bidi w:val="0"/>
              <w:spacing w:before="0" w:after="283"/>
              <w:ind w:left="0" w:right="0" w:hanging="720"/>
              <w:jc w:val="right"/>
              <w:rPr/>
            </w:pPr>
            <w:r>
              <w:rPr/>
              <w:t>108</w:t>
            </w:r>
          </w:p>
        </w:tc>
      </w:tr>
      <w:tr>
        <w:trPr/>
        <w:tc>
          <w:tcPr>
            <w:tcW w:w="8300" w:type="dxa"/>
            <w:tcBorders/>
            <w:vAlign w:val="center"/>
          </w:tcPr>
          <w:p>
            <w:pPr>
              <w:pStyle w:val="TableContents"/>
              <w:bidi w:val="0"/>
              <w:spacing w:before="0" w:after="283"/>
              <w:jc w:val="left"/>
              <w:rPr/>
            </w:pPr>
            <w:r>
              <w:rPr/>
              <w:t>Section 4.2   Conditions to All Extensions of Credit.</w:t>
            </w:r>
          </w:p>
        </w:tc>
        <w:tc>
          <w:tcPr>
            <w:tcW w:w="395" w:type="dxa"/>
            <w:tcBorders/>
            <w:vAlign w:val="center"/>
          </w:tcPr>
          <w:p>
            <w:pPr>
              <w:pStyle w:val="TableContents"/>
              <w:bidi w:val="0"/>
              <w:spacing w:before="0" w:after="283"/>
              <w:ind w:left="0" w:right="0" w:hanging="720"/>
              <w:jc w:val="right"/>
              <w:rPr/>
            </w:pPr>
            <w:r>
              <w:rPr/>
              <w:t>110</w:t>
            </w:r>
          </w:p>
        </w:tc>
      </w:tr>
      <w:tr>
        <w:trPr/>
        <w:tc>
          <w:tcPr>
            <w:tcW w:w="8300" w:type="dxa"/>
            <w:tcBorders/>
            <w:vAlign w:val="center"/>
          </w:tcPr>
          <w:p>
            <w:pPr>
              <w:pStyle w:val="TableContents"/>
              <w:bidi w:val="0"/>
              <w:spacing w:before="0" w:after="283"/>
              <w:jc w:val="left"/>
              <w:rPr/>
            </w:pPr>
            <w:r>
              <w:rPr/>
              <w:t>Section 4.3   Conditions to Funding of Initial Term Loans on Acquisition Closing Date.</w:t>
            </w:r>
          </w:p>
        </w:tc>
        <w:tc>
          <w:tcPr>
            <w:tcW w:w="395" w:type="dxa"/>
            <w:tcBorders/>
            <w:vAlign w:val="center"/>
          </w:tcPr>
          <w:p>
            <w:pPr>
              <w:pStyle w:val="TableContents"/>
              <w:bidi w:val="0"/>
              <w:spacing w:before="0" w:after="283"/>
              <w:ind w:left="0" w:right="0" w:hanging="1728"/>
              <w:jc w:val="right"/>
              <w:rPr/>
            </w:pPr>
            <w:r>
              <w:rPr/>
              <w:t>112</w:t>
            </w:r>
          </w:p>
        </w:tc>
      </w:tr>
      <w:tr>
        <w:trPr/>
        <w:tc>
          <w:tcPr>
            <w:tcW w:w="8300" w:type="dxa"/>
            <w:tcBorders/>
            <w:vAlign w:val="center"/>
          </w:tcPr>
          <w:p>
            <w:pPr>
              <w:pStyle w:val="TableContents"/>
              <w:bidi w:val="0"/>
              <w:spacing w:before="0" w:after="283"/>
              <w:jc w:val="left"/>
              <w:rPr/>
            </w:pPr>
            <w:r>
              <w:rPr/>
              <w:t>Article V AFFIRMATIVE COVENANTS</w:t>
            </w:r>
          </w:p>
        </w:tc>
        <w:tc>
          <w:tcPr>
            <w:tcW w:w="395" w:type="dxa"/>
            <w:tcBorders/>
            <w:vAlign w:val="center"/>
          </w:tcPr>
          <w:p>
            <w:pPr>
              <w:pStyle w:val="TableContents"/>
              <w:bidi w:val="0"/>
              <w:spacing w:before="0" w:after="283"/>
              <w:ind w:left="0" w:right="0" w:hanging="720"/>
              <w:jc w:val="right"/>
              <w:rPr/>
            </w:pPr>
            <w:r>
              <w:rPr/>
              <w:t>114</w:t>
            </w:r>
          </w:p>
        </w:tc>
      </w:tr>
      <w:tr>
        <w:trPr/>
        <w:tc>
          <w:tcPr>
            <w:tcW w:w="8300" w:type="dxa"/>
            <w:tcBorders/>
            <w:vAlign w:val="center"/>
          </w:tcPr>
          <w:p>
            <w:pPr>
              <w:pStyle w:val="TableContents"/>
              <w:bidi w:val="0"/>
              <w:spacing w:before="0" w:after="283"/>
              <w:jc w:val="left"/>
              <w:rPr/>
            </w:pPr>
            <w:r>
              <w:rPr/>
              <w:t>Section 5.1   Financial Statements.</w:t>
            </w:r>
          </w:p>
        </w:tc>
        <w:tc>
          <w:tcPr>
            <w:tcW w:w="395" w:type="dxa"/>
            <w:tcBorders/>
            <w:vAlign w:val="center"/>
          </w:tcPr>
          <w:p>
            <w:pPr>
              <w:pStyle w:val="TableContents"/>
              <w:bidi w:val="0"/>
              <w:spacing w:before="0" w:after="283"/>
              <w:ind w:left="0" w:right="0" w:hanging="720"/>
              <w:jc w:val="right"/>
              <w:rPr/>
            </w:pPr>
            <w:r>
              <w:rPr/>
              <w:t>114</w:t>
            </w:r>
          </w:p>
        </w:tc>
      </w:tr>
      <w:tr>
        <w:trPr/>
        <w:tc>
          <w:tcPr>
            <w:tcW w:w="8300" w:type="dxa"/>
            <w:tcBorders/>
            <w:vAlign w:val="center"/>
          </w:tcPr>
          <w:p>
            <w:pPr>
              <w:pStyle w:val="TableContents"/>
              <w:bidi w:val="0"/>
              <w:spacing w:before="0" w:after="283"/>
              <w:jc w:val="left"/>
              <w:rPr/>
            </w:pPr>
            <w:r>
              <w:rPr/>
              <w:t>Section 5.2   Certificates; Other Information.</w:t>
            </w:r>
          </w:p>
        </w:tc>
        <w:tc>
          <w:tcPr>
            <w:tcW w:w="395" w:type="dxa"/>
            <w:tcBorders/>
            <w:vAlign w:val="center"/>
          </w:tcPr>
          <w:p>
            <w:pPr>
              <w:pStyle w:val="TableContents"/>
              <w:bidi w:val="0"/>
              <w:spacing w:before="0" w:after="283"/>
              <w:ind w:left="0" w:right="0" w:hanging="720"/>
              <w:jc w:val="right"/>
              <w:rPr/>
            </w:pPr>
            <w:r>
              <w:rPr/>
              <w:t>115</w:t>
            </w:r>
          </w:p>
        </w:tc>
      </w:tr>
      <w:tr>
        <w:trPr/>
        <w:tc>
          <w:tcPr>
            <w:tcW w:w="8300" w:type="dxa"/>
            <w:tcBorders/>
            <w:vAlign w:val="center"/>
          </w:tcPr>
          <w:p>
            <w:pPr>
              <w:pStyle w:val="TableContents"/>
              <w:bidi w:val="0"/>
              <w:spacing w:before="0" w:after="283"/>
              <w:jc w:val="left"/>
              <w:rPr/>
            </w:pPr>
            <w:r>
              <w:rPr/>
              <w:t>Section 5.3   Payment of Taxes.</w:t>
            </w:r>
          </w:p>
        </w:tc>
        <w:tc>
          <w:tcPr>
            <w:tcW w:w="395" w:type="dxa"/>
            <w:tcBorders/>
            <w:vAlign w:val="center"/>
          </w:tcPr>
          <w:p>
            <w:pPr>
              <w:pStyle w:val="TableContents"/>
              <w:bidi w:val="0"/>
              <w:spacing w:before="0" w:after="283"/>
              <w:ind w:left="0" w:right="0" w:hanging="720"/>
              <w:jc w:val="right"/>
              <w:rPr/>
            </w:pPr>
            <w:r>
              <w:rPr/>
              <w:t>116</w:t>
            </w:r>
          </w:p>
        </w:tc>
      </w:tr>
      <w:tr>
        <w:trPr/>
        <w:tc>
          <w:tcPr>
            <w:tcW w:w="8300" w:type="dxa"/>
            <w:tcBorders/>
            <w:vAlign w:val="center"/>
          </w:tcPr>
          <w:p>
            <w:pPr>
              <w:pStyle w:val="TableContents"/>
              <w:bidi w:val="0"/>
              <w:spacing w:before="0" w:after="283"/>
              <w:jc w:val="left"/>
              <w:rPr/>
            </w:pPr>
            <w:r>
              <w:rPr/>
              <w:t>Section 5.4   Conduct of Business and Maintenance of Existence.</w:t>
            </w:r>
          </w:p>
        </w:tc>
        <w:tc>
          <w:tcPr>
            <w:tcW w:w="395" w:type="dxa"/>
            <w:tcBorders/>
            <w:vAlign w:val="center"/>
          </w:tcPr>
          <w:p>
            <w:pPr>
              <w:pStyle w:val="TableContents"/>
              <w:bidi w:val="0"/>
              <w:spacing w:before="0" w:after="283"/>
              <w:ind w:left="0" w:right="0" w:hanging="720"/>
              <w:jc w:val="right"/>
              <w:rPr/>
            </w:pPr>
            <w:r>
              <w:rPr/>
              <w:t>116</w:t>
            </w:r>
          </w:p>
        </w:tc>
      </w:tr>
      <w:tr>
        <w:trPr/>
        <w:tc>
          <w:tcPr>
            <w:tcW w:w="8300" w:type="dxa"/>
            <w:tcBorders/>
            <w:vAlign w:val="center"/>
          </w:tcPr>
          <w:p>
            <w:pPr>
              <w:pStyle w:val="TableContents"/>
              <w:bidi w:val="0"/>
              <w:spacing w:before="0" w:after="283"/>
              <w:jc w:val="left"/>
              <w:rPr/>
            </w:pPr>
            <w:r>
              <w:rPr/>
              <w:t>Section 5.5   Maintenance of Property; Insurance.</w:t>
            </w:r>
          </w:p>
        </w:tc>
        <w:tc>
          <w:tcPr>
            <w:tcW w:w="395" w:type="dxa"/>
            <w:tcBorders/>
            <w:vAlign w:val="center"/>
          </w:tcPr>
          <w:p>
            <w:pPr>
              <w:pStyle w:val="TableContents"/>
              <w:bidi w:val="0"/>
              <w:spacing w:before="0" w:after="283"/>
              <w:ind w:left="0" w:right="0" w:hanging="720"/>
              <w:jc w:val="right"/>
              <w:rPr/>
            </w:pPr>
            <w:r>
              <w:rPr/>
              <w:t>116</w:t>
            </w:r>
          </w:p>
        </w:tc>
      </w:tr>
      <w:tr>
        <w:trPr/>
        <w:tc>
          <w:tcPr>
            <w:tcW w:w="8300" w:type="dxa"/>
            <w:tcBorders/>
            <w:vAlign w:val="center"/>
          </w:tcPr>
          <w:p>
            <w:pPr>
              <w:pStyle w:val="TableContents"/>
              <w:bidi w:val="0"/>
              <w:spacing w:before="0" w:after="283"/>
              <w:jc w:val="left"/>
              <w:rPr/>
            </w:pPr>
            <w:r>
              <w:rPr/>
              <w:t>Section 5.6   Maintenance of Books and Records.</w:t>
            </w:r>
          </w:p>
        </w:tc>
        <w:tc>
          <w:tcPr>
            <w:tcW w:w="395" w:type="dxa"/>
            <w:tcBorders/>
            <w:vAlign w:val="center"/>
          </w:tcPr>
          <w:p>
            <w:pPr>
              <w:pStyle w:val="TableContents"/>
              <w:bidi w:val="0"/>
              <w:spacing w:before="0" w:after="283"/>
              <w:ind w:left="0" w:right="0" w:hanging="720"/>
              <w:jc w:val="right"/>
              <w:rPr/>
            </w:pPr>
            <w:r>
              <w:rPr/>
              <w:t>117</w:t>
            </w:r>
          </w:p>
        </w:tc>
      </w:tr>
      <w:tr>
        <w:trPr/>
        <w:tc>
          <w:tcPr>
            <w:tcW w:w="8300" w:type="dxa"/>
            <w:tcBorders/>
            <w:vAlign w:val="center"/>
          </w:tcPr>
          <w:p>
            <w:pPr>
              <w:pStyle w:val="TableContents"/>
              <w:bidi w:val="0"/>
              <w:spacing w:before="0" w:after="283"/>
              <w:jc w:val="left"/>
              <w:rPr/>
            </w:pPr>
            <w:r>
              <w:rPr/>
              <w:t>Section 5.7   Notices.</w:t>
            </w:r>
          </w:p>
        </w:tc>
        <w:tc>
          <w:tcPr>
            <w:tcW w:w="395" w:type="dxa"/>
            <w:tcBorders/>
            <w:vAlign w:val="center"/>
          </w:tcPr>
          <w:p>
            <w:pPr>
              <w:pStyle w:val="TableContents"/>
              <w:bidi w:val="0"/>
              <w:spacing w:before="0" w:after="283"/>
              <w:ind w:left="0" w:right="0" w:hanging="720"/>
              <w:jc w:val="right"/>
              <w:rPr/>
            </w:pPr>
            <w:r>
              <w:rPr/>
              <w:t>117</w:t>
            </w:r>
          </w:p>
        </w:tc>
      </w:tr>
      <w:tr>
        <w:trPr/>
        <w:tc>
          <w:tcPr>
            <w:tcW w:w="8300" w:type="dxa"/>
            <w:tcBorders/>
            <w:vAlign w:val="center"/>
          </w:tcPr>
          <w:p>
            <w:pPr>
              <w:pStyle w:val="TableContents"/>
              <w:bidi w:val="0"/>
              <w:spacing w:before="0" w:after="283"/>
              <w:jc w:val="left"/>
              <w:rPr/>
            </w:pPr>
            <w:r>
              <w:rPr/>
              <w:t>Section 5.8   Environmental Laws.</w:t>
            </w:r>
          </w:p>
        </w:tc>
        <w:tc>
          <w:tcPr>
            <w:tcW w:w="395" w:type="dxa"/>
            <w:tcBorders/>
            <w:vAlign w:val="center"/>
          </w:tcPr>
          <w:p>
            <w:pPr>
              <w:pStyle w:val="TableContents"/>
              <w:bidi w:val="0"/>
              <w:spacing w:before="0" w:after="283"/>
              <w:ind w:left="0" w:right="0" w:hanging="720"/>
              <w:jc w:val="right"/>
              <w:rPr/>
            </w:pPr>
            <w:r>
              <w:rPr/>
              <w:t>118</w:t>
            </w:r>
          </w:p>
        </w:tc>
      </w:tr>
      <w:tr>
        <w:trPr/>
        <w:tc>
          <w:tcPr>
            <w:tcW w:w="8300" w:type="dxa"/>
            <w:tcBorders/>
            <w:vAlign w:val="center"/>
          </w:tcPr>
          <w:p>
            <w:pPr>
              <w:pStyle w:val="TableContents"/>
              <w:bidi w:val="0"/>
              <w:spacing w:before="0" w:after="283"/>
              <w:jc w:val="left"/>
              <w:rPr/>
            </w:pPr>
            <w:r>
              <w:rPr/>
              <w:t>Section 5.9   Financial Covenants.</w:t>
            </w:r>
          </w:p>
        </w:tc>
        <w:tc>
          <w:tcPr>
            <w:tcW w:w="395" w:type="dxa"/>
            <w:tcBorders/>
            <w:vAlign w:val="center"/>
          </w:tcPr>
          <w:p>
            <w:pPr>
              <w:pStyle w:val="TableContents"/>
              <w:bidi w:val="0"/>
              <w:spacing w:before="0" w:after="283"/>
              <w:ind w:left="0" w:right="0" w:hanging="720"/>
              <w:jc w:val="right"/>
              <w:rPr/>
            </w:pPr>
            <w:r>
              <w:rPr/>
              <w:t>118</w:t>
            </w:r>
          </w:p>
        </w:tc>
      </w:tr>
      <w:tr>
        <w:trPr/>
        <w:tc>
          <w:tcPr>
            <w:tcW w:w="8300" w:type="dxa"/>
            <w:tcBorders/>
            <w:vAlign w:val="center"/>
          </w:tcPr>
          <w:p>
            <w:pPr>
              <w:pStyle w:val="TableContents"/>
              <w:bidi w:val="0"/>
              <w:spacing w:before="0" w:after="283"/>
              <w:jc w:val="left"/>
              <w:rPr/>
            </w:pPr>
            <w:r>
              <w:rPr/>
              <w:t>Section 5.10   Additional Guarantors.</w:t>
            </w:r>
          </w:p>
        </w:tc>
        <w:tc>
          <w:tcPr>
            <w:tcW w:w="395" w:type="dxa"/>
            <w:tcBorders/>
            <w:vAlign w:val="center"/>
          </w:tcPr>
          <w:p>
            <w:pPr>
              <w:pStyle w:val="TableContents"/>
              <w:bidi w:val="0"/>
              <w:spacing w:before="0" w:after="283"/>
              <w:ind w:left="0" w:right="0" w:hanging="720"/>
              <w:jc w:val="right"/>
              <w:rPr/>
            </w:pPr>
            <w:r>
              <w:rPr/>
              <w:t>119</w:t>
            </w:r>
          </w:p>
        </w:tc>
      </w:tr>
      <w:tr>
        <w:trPr/>
        <w:tc>
          <w:tcPr>
            <w:tcW w:w="8300" w:type="dxa"/>
            <w:tcBorders/>
            <w:vAlign w:val="center"/>
          </w:tcPr>
          <w:p>
            <w:pPr>
              <w:pStyle w:val="TableContents"/>
              <w:bidi w:val="0"/>
              <w:spacing w:before="0" w:after="283"/>
              <w:jc w:val="left"/>
              <w:rPr/>
            </w:pPr>
            <w:r>
              <w:rPr/>
              <w:t>Section 5.11   Compliance with Law.</w:t>
            </w:r>
          </w:p>
        </w:tc>
        <w:tc>
          <w:tcPr>
            <w:tcW w:w="395" w:type="dxa"/>
            <w:tcBorders/>
            <w:vAlign w:val="center"/>
          </w:tcPr>
          <w:p>
            <w:pPr>
              <w:pStyle w:val="TableContents"/>
              <w:bidi w:val="0"/>
              <w:spacing w:before="0" w:after="283"/>
              <w:ind w:left="0" w:right="0" w:hanging="720"/>
              <w:jc w:val="right"/>
              <w:rPr/>
            </w:pPr>
            <w:r>
              <w:rPr/>
              <w:t>119</w:t>
            </w:r>
          </w:p>
        </w:tc>
      </w:tr>
      <w:tr>
        <w:trPr/>
        <w:tc>
          <w:tcPr>
            <w:tcW w:w="8300" w:type="dxa"/>
            <w:tcBorders/>
            <w:vAlign w:val="center"/>
          </w:tcPr>
          <w:p>
            <w:pPr>
              <w:pStyle w:val="TableContents"/>
              <w:bidi w:val="0"/>
              <w:spacing w:before="0" w:after="283"/>
              <w:jc w:val="left"/>
              <w:rPr/>
            </w:pPr>
            <w:r>
              <w:rPr/>
              <w:t>Section 5.12   Pledged Assets.</w:t>
            </w:r>
          </w:p>
        </w:tc>
        <w:tc>
          <w:tcPr>
            <w:tcW w:w="395" w:type="dxa"/>
            <w:tcBorders/>
            <w:vAlign w:val="center"/>
          </w:tcPr>
          <w:p>
            <w:pPr>
              <w:pStyle w:val="TableContents"/>
              <w:bidi w:val="0"/>
              <w:spacing w:before="0" w:after="283"/>
              <w:ind w:left="0" w:right="0" w:hanging="720"/>
              <w:jc w:val="right"/>
              <w:rPr/>
            </w:pPr>
            <w:r>
              <w:rPr/>
              <w:t>120</w:t>
            </w:r>
          </w:p>
        </w:tc>
      </w:tr>
      <w:tr>
        <w:trPr/>
        <w:tc>
          <w:tcPr>
            <w:tcW w:w="8300" w:type="dxa"/>
            <w:tcBorders/>
            <w:vAlign w:val="center"/>
          </w:tcPr>
          <w:p>
            <w:pPr>
              <w:pStyle w:val="TableContents"/>
              <w:bidi w:val="0"/>
              <w:spacing w:before="0" w:after="283"/>
              <w:jc w:val="left"/>
              <w:rPr/>
            </w:pPr>
            <w:r>
              <w:rPr/>
              <w:t>Section 5.13   Designation of Subsidiaries.</w:t>
            </w:r>
          </w:p>
        </w:tc>
        <w:tc>
          <w:tcPr>
            <w:tcW w:w="395" w:type="dxa"/>
            <w:tcBorders/>
            <w:vAlign w:val="center"/>
          </w:tcPr>
          <w:p>
            <w:pPr>
              <w:pStyle w:val="TableContents"/>
              <w:bidi w:val="0"/>
              <w:spacing w:before="0" w:after="283"/>
              <w:ind w:left="0" w:right="0" w:hanging="720"/>
              <w:jc w:val="right"/>
              <w:rPr/>
            </w:pPr>
            <w:r>
              <w:rPr/>
              <w:t>120</w:t>
            </w:r>
          </w:p>
        </w:tc>
      </w:tr>
      <w:tr>
        <w:trPr/>
        <w:tc>
          <w:tcPr>
            <w:tcW w:w="8300" w:type="dxa"/>
            <w:tcBorders/>
            <w:vAlign w:val="center"/>
          </w:tcPr>
          <w:p>
            <w:pPr>
              <w:pStyle w:val="TableContents"/>
              <w:bidi w:val="0"/>
              <w:spacing w:before="0" w:after="283"/>
              <w:jc w:val="left"/>
              <w:rPr/>
            </w:pPr>
            <w:r>
              <w:rPr/>
              <w:t>Section 5.14   Anti-Corruption Laws, Etc.</w:t>
            </w:r>
          </w:p>
        </w:tc>
        <w:tc>
          <w:tcPr>
            <w:tcW w:w="395" w:type="dxa"/>
            <w:tcBorders/>
            <w:vAlign w:val="center"/>
          </w:tcPr>
          <w:p>
            <w:pPr>
              <w:pStyle w:val="TableContents"/>
              <w:bidi w:val="0"/>
              <w:spacing w:before="0" w:after="283"/>
              <w:ind w:left="0" w:right="0" w:hanging="720"/>
              <w:jc w:val="right"/>
              <w:rPr/>
            </w:pPr>
            <w:r>
              <w:rPr/>
              <w:t>120</w:t>
            </w:r>
          </w:p>
        </w:tc>
      </w:tr>
      <w:tr>
        <w:trPr/>
        <w:tc>
          <w:tcPr>
            <w:tcW w:w="8300" w:type="dxa"/>
            <w:tcBorders/>
            <w:vAlign w:val="center"/>
          </w:tcPr>
          <w:p>
            <w:pPr>
              <w:pStyle w:val="TableContents"/>
              <w:bidi w:val="0"/>
              <w:spacing w:before="0" w:after="283"/>
              <w:jc w:val="left"/>
              <w:rPr/>
            </w:pPr>
            <w:r>
              <w:rPr/>
              <w:t>Section 5.15   Further Assurances and Post-Closing Covenants.</w:t>
            </w:r>
          </w:p>
        </w:tc>
        <w:tc>
          <w:tcPr>
            <w:tcW w:w="395" w:type="dxa"/>
            <w:tcBorders/>
            <w:vAlign w:val="center"/>
          </w:tcPr>
          <w:p>
            <w:pPr>
              <w:pStyle w:val="TableContents"/>
              <w:bidi w:val="0"/>
              <w:spacing w:before="0" w:after="283"/>
              <w:jc w:val="right"/>
              <w:rPr/>
            </w:pPr>
            <w:r>
              <w:rPr/>
              <w:t>120</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 </w:t>
      </w:r>
    </w:p>
    <w:p>
      <w:pPr>
        <w:pStyle w:val="TextBody"/>
        <w:bidi w:val="0"/>
        <w:spacing w:before="0" w:after="0"/>
        <w:ind w:left="0" w:right="0" w:hanging="0"/>
        <w:jc w:val="left"/>
        <w:rPr/>
      </w:pPr>
      <w:r>
        <w:rPr/>
        <w:t> </w:t>
      </w:r>
    </w:p>
    <w:tbl>
      <w:tblPr>
        <w:tblW w:w="7570" w:type="dxa"/>
        <w:jc w:val="left"/>
        <w:tblInd w:w="0" w:type="dxa"/>
        <w:tblLayout w:type="fixed"/>
        <w:tblCellMar>
          <w:top w:w="0" w:type="dxa"/>
          <w:left w:w="0" w:type="dxa"/>
          <w:bottom w:w="0" w:type="dxa"/>
          <w:right w:w="0" w:type="dxa"/>
        </w:tblCellMar>
      </w:tblPr>
      <w:tblGrid>
        <w:gridCol w:w="7175"/>
        <w:gridCol w:w="395"/>
      </w:tblGrid>
      <w:tr>
        <w:trPr/>
        <w:tc>
          <w:tcPr>
            <w:tcW w:w="7175" w:type="dxa"/>
            <w:tcBorders/>
            <w:vAlign w:val="center"/>
          </w:tcPr>
          <w:p>
            <w:pPr>
              <w:pStyle w:val="TableContents"/>
              <w:bidi w:val="0"/>
              <w:spacing w:before="0" w:after="283"/>
              <w:ind w:left="0" w:right="0" w:hanging="720"/>
              <w:jc w:val="left"/>
              <w:rPr/>
            </w:pPr>
            <w:r>
              <w:rPr/>
              <w:t>Section 5.16   Use of Proceeds.</w:t>
            </w:r>
          </w:p>
        </w:tc>
        <w:tc>
          <w:tcPr>
            <w:tcW w:w="395" w:type="dxa"/>
            <w:tcBorders/>
            <w:vAlign w:val="center"/>
          </w:tcPr>
          <w:p>
            <w:pPr>
              <w:pStyle w:val="TableContents"/>
              <w:bidi w:val="0"/>
              <w:spacing w:before="0" w:after="283"/>
              <w:ind w:left="0" w:right="0" w:hanging="1728"/>
              <w:jc w:val="right"/>
              <w:rPr/>
            </w:pPr>
            <w:r>
              <w:rPr/>
              <w:t>121</w:t>
            </w:r>
          </w:p>
        </w:tc>
      </w:tr>
      <w:tr>
        <w:trPr/>
        <w:tc>
          <w:tcPr>
            <w:tcW w:w="7175" w:type="dxa"/>
            <w:tcBorders/>
            <w:vAlign w:val="center"/>
          </w:tcPr>
          <w:p>
            <w:pPr>
              <w:pStyle w:val="TableContents"/>
              <w:bidi w:val="0"/>
              <w:spacing w:before="0" w:after="283"/>
              <w:jc w:val="left"/>
              <w:rPr/>
            </w:pPr>
            <w:r>
              <w:rPr/>
              <w:t>Article VI NEGATIVE COVENANTS</w:t>
            </w:r>
          </w:p>
        </w:tc>
        <w:tc>
          <w:tcPr>
            <w:tcW w:w="395" w:type="dxa"/>
            <w:tcBorders/>
            <w:vAlign w:val="center"/>
          </w:tcPr>
          <w:p>
            <w:pPr>
              <w:pStyle w:val="TableContents"/>
              <w:bidi w:val="0"/>
              <w:spacing w:before="0" w:after="283"/>
              <w:ind w:left="0" w:right="0" w:hanging="720"/>
              <w:jc w:val="right"/>
              <w:rPr/>
            </w:pPr>
            <w:r>
              <w:rPr/>
              <w:t>121</w:t>
            </w:r>
          </w:p>
        </w:tc>
      </w:tr>
      <w:tr>
        <w:trPr/>
        <w:tc>
          <w:tcPr>
            <w:tcW w:w="7175" w:type="dxa"/>
            <w:tcBorders/>
            <w:vAlign w:val="center"/>
          </w:tcPr>
          <w:p>
            <w:pPr>
              <w:pStyle w:val="TableContents"/>
              <w:bidi w:val="0"/>
              <w:spacing w:before="0" w:after="283"/>
              <w:jc w:val="left"/>
              <w:rPr/>
            </w:pPr>
            <w:r>
              <w:rPr/>
              <w:t>Section 6.1   Indebtedness.</w:t>
            </w:r>
          </w:p>
        </w:tc>
        <w:tc>
          <w:tcPr>
            <w:tcW w:w="395" w:type="dxa"/>
            <w:tcBorders/>
            <w:vAlign w:val="center"/>
          </w:tcPr>
          <w:p>
            <w:pPr>
              <w:pStyle w:val="TableContents"/>
              <w:bidi w:val="0"/>
              <w:spacing w:before="0" w:after="283"/>
              <w:ind w:left="0" w:right="0" w:hanging="720"/>
              <w:jc w:val="right"/>
              <w:rPr/>
            </w:pPr>
            <w:r>
              <w:rPr/>
              <w:t>122</w:t>
            </w:r>
          </w:p>
        </w:tc>
      </w:tr>
      <w:tr>
        <w:trPr/>
        <w:tc>
          <w:tcPr>
            <w:tcW w:w="7175" w:type="dxa"/>
            <w:tcBorders/>
            <w:vAlign w:val="center"/>
          </w:tcPr>
          <w:p>
            <w:pPr>
              <w:pStyle w:val="TableContents"/>
              <w:bidi w:val="0"/>
              <w:spacing w:before="0" w:after="283"/>
              <w:jc w:val="left"/>
              <w:rPr/>
            </w:pPr>
            <w:r>
              <w:rPr/>
              <w:t>Section 6.2   Liens.</w:t>
            </w:r>
          </w:p>
        </w:tc>
        <w:tc>
          <w:tcPr>
            <w:tcW w:w="395" w:type="dxa"/>
            <w:tcBorders/>
            <w:vAlign w:val="center"/>
          </w:tcPr>
          <w:p>
            <w:pPr>
              <w:pStyle w:val="TableContents"/>
              <w:bidi w:val="0"/>
              <w:spacing w:before="0" w:after="283"/>
              <w:ind w:left="0" w:right="0" w:hanging="720"/>
              <w:jc w:val="right"/>
              <w:rPr/>
            </w:pPr>
            <w:r>
              <w:rPr/>
              <w:t>124</w:t>
            </w:r>
          </w:p>
        </w:tc>
      </w:tr>
      <w:tr>
        <w:trPr/>
        <w:tc>
          <w:tcPr>
            <w:tcW w:w="7175" w:type="dxa"/>
            <w:tcBorders/>
            <w:vAlign w:val="center"/>
          </w:tcPr>
          <w:p>
            <w:pPr>
              <w:pStyle w:val="TableContents"/>
              <w:bidi w:val="0"/>
              <w:spacing w:before="0" w:after="283"/>
              <w:jc w:val="left"/>
              <w:rPr/>
            </w:pPr>
            <w:r>
              <w:rPr/>
              <w:t>Section 6.3   Nature of Business.</w:t>
            </w:r>
          </w:p>
        </w:tc>
        <w:tc>
          <w:tcPr>
            <w:tcW w:w="395" w:type="dxa"/>
            <w:tcBorders/>
            <w:vAlign w:val="center"/>
          </w:tcPr>
          <w:p>
            <w:pPr>
              <w:pStyle w:val="TableContents"/>
              <w:bidi w:val="0"/>
              <w:spacing w:before="0" w:after="283"/>
              <w:ind w:left="0" w:right="0" w:hanging="720"/>
              <w:jc w:val="right"/>
              <w:rPr/>
            </w:pPr>
            <w:r>
              <w:rPr/>
              <w:t>126</w:t>
            </w:r>
          </w:p>
        </w:tc>
      </w:tr>
      <w:tr>
        <w:trPr/>
        <w:tc>
          <w:tcPr>
            <w:tcW w:w="7175" w:type="dxa"/>
            <w:tcBorders/>
            <w:vAlign w:val="center"/>
          </w:tcPr>
          <w:p>
            <w:pPr>
              <w:pStyle w:val="TableContents"/>
              <w:bidi w:val="0"/>
              <w:spacing w:before="0" w:after="283"/>
              <w:jc w:val="left"/>
              <w:rPr/>
            </w:pPr>
            <w:r>
              <w:rPr/>
              <w:t>Section 6.4   Consolidation, Merger, Purchase and Sale of Assets, etc.</w:t>
            </w:r>
          </w:p>
        </w:tc>
        <w:tc>
          <w:tcPr>
            <w:tcW w:w="395" w:type="dxa"/>
            <w:tcBorders/>
            <w:vAlign w:val="center"/>
          </w:tcPr>
          <w:p>
            <w:pPr>
              <w:pStyle w:val="TableContents"/>
              <w:bidi w:val="0"/>
              <w:spacing w:before="0" w:after="283"/>
              <w:ind w:left="0" w:right="0" w:hanging="720"/>
              <w:jc w:val="right"/>
              <w:rPr/>
            </w:pPr>
            <w:r>
              <w:rPr/>
              <w:t>127</w:t>
            </w:r>
          </w:p>
        </w:tc>
      </w:tr>
      <w:tr>
        <w:trPr/>
        <w:tc>
          <w:tcPr>
            <w:tcW w:w="7175" w:type="dxa"/>
            <w:tcBorders/>
            <w:vAlign w:val="center"/>
          </w:tcPr>
          <w:p>
            <w:pPr>
              <w:pStyle w:val="TableContents"/>
              <w:bidi w:val="0"/>
              <w:spacing w:before="0" w:after="283"/>
              <w:jc w:val="left"/>
              <w:rPr/>
            </w:pPr>
            <w:r>
              <w:rPr/>
              <w:t>Section 6.5   Advances, Investments and Loans.</w:t>
            </w:r>
          </w:p>
        </w:tc>
        <w:tc>
          <w:tcPr>
            <w:tcW w:w="395" w:type="dxa"/>
            <w:tcBorders/>
            <w:vAlign w:val="center"/>
          </w:tcPr>
          <w:p>
            <w:pPr>
              <w:pStyle w:val="TableContents"/>
              <w:bidi w:val="0"/>
              <w:spacing w:before="0" w:after="283"/>
              <w:ind w:left="0" w:right="0" w:hanging="720"/>
              <w:jc w:val="right"/>
              <w:rPr/>
            </w:pPr>
            <w:r>
              <w:rPr/>
              <w:t>129</w:t>
            </w:r>
          </w:p>
        </w:tc>
      </w:tr>
      <w:tr>
        <w:trPr/>
        <w:tc>
          <w:tcPr>
            <w:tcW w:w="7175" w:type="dxa"/>
            <w:tcBorders/>
            <w:vAlign w:val="center"/>
          </w:tcPr>
          <w:p>
            <w:pPr>
              <w:pStyle w:val="TableContents"/>
              <w:bidi w:val="0"/>
              <w:spacing w:before="0" w:after="283"/>
              <w:jc w:val="left"/>
              <w:rPr/>
            </w:pPr>
            <w:r>
              <w:rPr/>
              <w:t>Section 6.6   Transactions with Affiliates.</w:t>
            </w:r>
          </w:p>
        </w:tc>
        <w:tc>
          <w:tcPr>
            <w:tcW w:w="395" w:type="dxa"/>
            <w:tcBorders/>
            <w:vAlign w:val="center"/>
          </w:tcPr>
          <w:p>
            <w:pPr>
              <w:pStyle w:val="TableContents"/>
              <w:bidi w:val="0"/>
              <w:spacing w:before="0" w:after="283"/>
              <w:ind w:left="0" w:right="0" w:hanging="720"/>
              <w:jc w:val="right"/>
              <w:rPr/>
            </w:pPr>
            <w:r>
              <w:rPr/>
              <w:t>130</w:t>
            </w:r>
          </w:p>
        </w:tc>
      </w:tr>
      <w:tr>
        <w:trPr/>
        <w:tc>
          <w:tcPr>
            <w:tcW w:w="7175" w:type="dxa"/>
            <w:tcBorders/>
            <w:vAlign w:val="center"/>
          </w:tcPr>
          <w:p>
            <w:pPr>
              <w:pStyle w:val="TableContents"/>
              <w:bidi w:val="0"/>
              <w:spacing w:before="0" w:after="283"/>
              <w:jc w:val="left"/>
              <w:rPr/>
            </w:pPr>
            <w:r>
              <w:rPr/>
              <w:t>Section 6.7   Corporate Changes.</w:t>
            </w:r>
          </w:p>
        </w:tc>
        <w:tc>
          <w:tcPr>
            <w:tcW w:w="395" w:type="dxa"/>
            <w:tcBorders/>
            <w:vAlign w:val="center"/>
          </w:tcPr>
          <w:p>
            <w:pPr>
              <w:pStyle w:val="TableContents"/>
              <w:bidi w:val="0"/>
              <w:spacing w:before="0" w:after="283"/>
              <w:ind w:left="0" w:right="0" w:hanging="720"/>
              <w:jc w:val="right"/>
              <w:rPr/>
            </w:pPr>
            <w:r>
              <w:rPr/>
              <w:t>131</w:t>
            </w:r>
          </w:p>
        </w:tc>
      </w:tr>
      <w:tr>
        <w:trPr/>
        <w:tc>
          <w:tcPr>
            <w:tcW w:w="7175" w:type="dxa"/>
            <w:tcBorders/>
            <w:vAlign w:val="center"/>
          </w:tcPr>
          <w:p>
            <w:pPr>
              <w:pStyle w:val="TableContents"/>
              <w:bidi w:val="0"/>
              <w:spacing w:before="0" w:after="283"/>
              <w:jc w:val="left"/>
              <w:rPr/>
            </w:pPr>
            <w:r>
              <w:rPr/>
              <w:t>Section 6.8   Limitation on Restricted Actions.</w:t>
            </w:r>
          </w:p>
        </w:tc>
        <w:tc>
          <w:tcPr>
            <w:tcW w:w="395" w:type="dxa"/>
            <w:tcBorders/>
            <w:vAlign w:val="center"/>
          </w:tcPr>
          <w:p>
            <w:pPr>
              <w:pStyle w:val="TableContents"/>
              <w:bidi w:val="0"/>
              <w:spacing w:before="0" w:after="283"/>
              <w:ind w:left="0" w:right="0" w:hanging="720"/>
              <w:jc w:val="right"/>
              <w:rPr/>
            </w:pPr>
            <w:r>
              <w:rPr/>
              <w:t>131</w:t>
            </w:r>
          </w:p>
        </w:tc>
      </w:tr>
      <w:tr>
        <w:trPr/>
        <w:tc>
          <w:tcPr>
            <w:tcW w:w="7175" w:type="dxa"/>
            <w:tcBorders/>
            <w:vAlign w:val="center"/>
          </w:tcPr>
          <w:p>
            <w:pPr>
              <w:pStyle w:val="TableContents"/>
              <w:bidi w:val="0"/>
              <w:spacing w:before="0" w:after="283"/>
              <w:jc w:val="left"/>
              <w:rPr/>
            </w:pPr>
            <w:r>
              <w:rPr/>
              <w:t>Section 6.9   Restricted Payments; Certain Payments of Indebtedness</w:t>
            </w:r>
          </w:p>
        </w:tc>
        <w:tc>
          <w:tcPr>
            <w:tcW w:w="395" w:type="dxa"/>
            <w:tcBorders/>
            <w:vAlign w:val="center"/>
          </w:tcPr>
          <w:p>
            <w:pPr>
              <w:pStyle w:val="TableContents"/>
              <w:bidi w:val="0"/>
              <w:spacing w:before="0" w:after="283"/>
              <w:ind w:left="0" w:right="0" w:hanging="720"/>
              <w:jc w:val="right"/>
              <w:rPr/>
            </w:pPr>
            <w:r>
              <w:rPr/>
              <w:t>131</w:t>
            </w:r>
          </w:p>
        </w:tc>
      </w:tr>
      <w:tr>
        <w:trPr/>
        <w:tc>
          <w:tcPr>
            <w:tcW w:w="7175" w:type="dxa"/>
            <w:tcBorders/>
            <w:vAlign w:val="center"/>
          </w:tcPr>
          <w:p>
            <w:pPr>
              <w:pStyle w:val="TableContents"/>
              <w:bidi w:val="0"/>
              <w:spacing w:before="0" w:after="283"/>
              <w:jc w:val="left"/>
              <w:rPr/>
            </w:pPr>
            <w:r>
              <w:rPr/>
              <w:t>Section 6.10   Sale Leasebacks.</w:t>
            </w:r>
          </w:p>
        </w:tc>
        <w:tc>
          <w:tcPr>
            <w:tcW w:w="395" w:type="dxa"/>
            <w:tcBorders/>
            <w:vAlign w:val="center"/>
          </w:tcPr>
          <w:p>
            <w:pPr>
              <w:pStyle w:val="TableContents"/>
              <w:bidi w:val="0"/>
              <w:spacing w:before="0" w:after="283"/>
              <w:ind w:left="0" w:right="0" w:hanging="720"/>
              <w:jc w:val="right"/>
              <w:rPr/>
            </w:pPr>
            <w:r>
              <w:rPr/>
              <w:t>133</w:t>
            </w:r>
          </w:p>
        </w:tc>
      </w:tr>
      <w:tr>
        <w:trPr/>
        <w:tc>
          <w:tcPr>
            <w:tcW w:w="7175" w:type="dxa"/>
            <w:tcBorders/>
            <w:vAlign w:val="center"/>
          </w:tcPr>
          <w:p>
            <w:pPr>
              <w:pStyle w:val="TableContents"/>
              <w:bidi w:val="0"/>
              <w:spacing w:before="0" w:after="283"/>
              <w:jc w:val="left"/>
              <w:rPr/>
            </w:pPr>
            <w:r>
              <w:rPr/>
              <w:t>Section 6.11   Amendments to Junior Financing Documents.</w:t>
            </w:r>
          </w:p>
        </w:tc>
        <w:tc>
          <w:tcPr>
            <w:tcW w:w="395" w:type="dxa"/>
            <w:tcBorders/>
            <w:vAlign w:val="center"/>
          </w:tcPr>
          <w:p>
            <w:pPr>
              <w:pStyle w:val="TableContents"/>
              <w:bidi w:val="0"/>
              <w:spacing w:before="0" w:after="283"/>
              <w:ind w:left="0" w:right="0" w:hanging="1728"/>
              <w:jc w:val="right"/>
              <w:rPr/>
            </w:pPr>
            <w:r>
              <w:rPr/>
              <w:t>133</w:t>
            </w:r>
          </w:p>
        </w:tc>
      </w:tr>
      <w:tr>
        <w:trPr/>
        <w:tc>
          <w:tcPr>
            <w:tcW w:w="7175" w:type="dxa"/>
            <w:tcBorders/>
            <w:vAlign w:val="center"/>
          </w:tcPr>
          <w:p>
            <w:pPr>
              <w:pStyle w:val="TableContents"/>
              <w:bidi w:val="0"/>
              <w:spacing w:before="0" w:after="283"/>
              <w:jc w:val="left"/>
              <w:rPr/>
            </w:pPr>
            <w:r>
              <w:rPr/>
              <w:t>Article VII EVENTS OF DEFAULT</w:t>
            </w:r>
          </w:p>
        </w:tc>
        <w:tc>
          <w:tcPr>
            <w:tcW w:w="395" w:type="dxa"/>
            <w:tcBorders/>
            <w:vAlign w:val="center"/>
          </w:tcPr>
          <w:p>
            <w:pPr>
              <w:pStyle w:val="TableContents"/>
              <w:bidi w:val="0"/>
              <w:spacing w:before="0" w:after="283"/>
              <w:ind w:left="0" w:right="0" w:hanging="720"/>
              <w:jc w:val="right"/>
              <w:rPr/>
            </w:pPr>
            <w:r>
              <w:rPr/>
              <w:t>134</w:t>
            </w:r>
          </w:p>
        </w:tc>
      </w:tr>
      <w:tr>
        <w:trPr/>
        <w:tc>
          <w:tcPr>
            <w:tcW w:w="7175" w:type="dxa"/>
            <w:tcBorders/>
            <w:vAlign w:val="center"/>
          </w:tcPr>
          <w:p>
            <w:pPr>
              <w:pStyle w:val="TableContents"/>
              <w:bidi w:val="0"/>
              <w:spacing w:before="0" w:after="283"/>
              <w:jc w:val="left"/>
              <w:rPr/>
            </w:pPr>
            <w:r>
              <w:rPr/>
              <w:t>Section 7.1   Events of Default.</w:t>
            </w:r>
          </w:p>
        </w:tc>
        <w:tc>
          <w:tcPr>
            <w:tcW w:w="395" w:type="dxa"/>
            <w:tcBorders/>
            <w:vAlign w:val="center"/>
          </w:tcPr>
          <w:p>
            <w:pPr>
              <w:pStyle w:val="TableContents"/>
              <w:bidi w:val="0"/>
              <w:spacing w:before="0" w:after="283"/>
              <w:ind w:left="0" w:right="0" w:hanging="720"/>
              <w:jc w:val="right"/>
              <w:rPr/>
            </w:pPr>
            <w:r>
              <w:rPr/>
              <w:t>134</w:t>
            </w:r>
          </w:p>
        </w:tc>
      </w:tr>
      <w:tr>
        <w:trPr/>
        <w:tc>
          <w:tcPr>
            <w:tcW w:w="7175" w:type="dxa"/>
            <w:tcBorders/>
            <w:vAlign w:val="center"/>
          </w:tcPr>
          <w:p>
            <w:pPr>
              <w:pStyle w:val="TableContents"/>
              <w:bidi w:val="0"/>
              <w:spacing w:before="0" w:after="283"/>
              <w:jc w:val="left"/>
              <w:rPr/>
            </w:pPr>
            <w:r>
              <w:rPr/>
              <w:t>Section 7.2   Acceleration; Remedies.</w:t>
            </w:r>
          </w:p>
        </w:tc>
        <w:tc>
          <w:tcPr>
            <w:tcW w:w="395" w:type="dxa"/>
            <w:tcBorders/>
            <w:vAlign w:val="center"/>
          </w:tcPr>
          <w:p>
            <w:pPr>
              <w:pStyle w:val="TableContents"/>
              <w:bidi w:val="0"/>
              <w:spacing w:before="0" w:after="283"/>
              <w:ind w:left="0" w:right="0" w:hanging="1728"/>
              <w:jc w:val="right"/>
              <w:rPr/>
            </w:pPr>
            <w:r>
              <w:rPr/>
              <w:t>137</w:t>
            </w:r>
          </w:p>
        </w:tc>
      </w:tr>
      <w:tr>
        <w:trPr/>
        <w:tc>
          <w:tcPr>
            <w:tcW w:w="7175" w:type="dxa"/>
            <w:tcBorders/>
            <w:vAlign w:val="center"/>
          </w:tcPr>
          <w:p>
            <w:pPr>
              <w:pStyle w:val="TableContents"/>
              <w:bidi w:val="0"/>
              <w:spacing w:before="0" w:after="283"/>
              <w:jc w:val="left"/>
              <w:rPr/>
            </w:pPr>
            <w:r>
              <w:rPr/>
              <w:t>Article VIII THE ADMINISTRATIVE AGENT</w:t>
            </w:r>
          </w:p>
        </w:tc>
        <w:tc>
          <w:tcPr>
            <w:tcW w:w="395" w:type="dxa"/>
            <w:tcBorders/>
            <w:vAlign w:val="center"/>
          </w:tcPr>
          <w:p>
            <w:pPr>
              <w:pStyle w:val="TableContents"/>
              <w:bidi w:val="0"/>
              <w:spacing w:before="0" w:after="283"/>
              <w:ind w:left="0" w:right="0" w:hanging="720"/>
              <w:jc w:val="right"/>
              <w:rPr/>
            </w:pPr>
            <w:r>
              <w:rPr/>
              <w:t>137</w:t>
            </w:r>
          </w:p>
        </w:tc>
      </w:tr>
      <w:tr>
        <w:trPr/>
        <w:tc>
          <w:tcPr>
            <w:tcW w:w="7175" w:type="dxa"/>
            <w:tcBorders/>
            <w:vAlign w:val="center"/>
          </w:tcPr>
          <w:p>
            <w:pPr>
              <w:pStyle w:val="TableContents"/>
              <w:bidi w:val="0"/>
              <w:spacing w:before="0" w:after="283"/>
              <w:jc w:val="left"/>
              <w:rPr/>
            </w:pPr>
            <w:r>
              <w:rPr/>
              <w:t>Section 8.1   Authorization and Action.</w:t>
            </w:r>
          </w:p>
        </w:tc>
        <w:tc>
          <w:tcPr>
            <w:tcW w:w="395" w:type="dxa"/>
            <w:tcBorders/>
            <w:vAlign w:val="center"/>
          </w:tcPr>
          <w:p>
            <w:pPr>
              <w:pStyle w:val="TableContents"/>
              <w:bidi w:val="0"/>
              <w:spacing w:before="0" w:after="283"/>
              <w:ind w:left="0" w:right="0" w:hanging="720"/>
              <w:jc w:val="right"/>
              <w:rPr/>
            </w:pPr>
            <w:r>
              <w:rPr/>
              <w:t>137</w:t>
            </w:r>
          </w:p>
        </w:tc>
      </w:tr>
      <w:tr>
        <w:trPr/>
        <w:tc>
          <w:tcPr>
            <w:tcW w:w="7175" w:type="dxa"/>
            <w:tcBorders/>
            <w:vAlign w:val="center"/>
          </w:tcPr>
          <w:p>
            <w:pPr>
              <w:pStyle w:val="TableContents"/>
              <w:bidi w:val="0"/>
              <w:spacing w:before="0" w:after="283"/>
              <w:jc w:val="left"/>
              <w:rPr/>
            </w:pPr>
            <w:r>
              <w:rPr/>
              <w:t>Section 8.2   Administrative Agent’s Reliance; Limitation of Liability, Etc.</w:t>
            </w:r>
          </w:p>
        </w:tc>
        <w:tc>
          <w:tcPr>
            <w:tcW w:w="395" w:type="dxa"/>
            <w:tcBorders/>
            <w:vAlign w:val="center"/>
          </w:tcPr>
          <w:p>
            <w:pPr>
              <w:pStyle w:val="TableContents"/>
              <w:bidi w:val="0"/>
              <w:spacing w:before="0" w:after="283"/>
              <w:ind w:left="0" w:right="0" w:hanging="720"/>
              <w:jc w:val="right"/>
              <w:rPr/>
            </w:pPr>
            <w:r>
              <w:rPr/>
              <w:t>139</w:t>
            </w:r>
          </w:p>
        </w:tc>
      </w:tr>
      <w:tr>
        <w:trPr/>
        <w:tc>
          <w:tcPr>
            <w:tcW w:w="7175" w:type="dxa"/>
            <w:tcBorders/>
            <w:vAlign w:val="center"/>
          </w:tcPr>
          <w:p>
            <w:pPr>
              <w:pStyle w:val="TableContents"/>
              <w:bidi w:val="0"/>
              <w:spacing w:before="0" w:after="283"/>
              <w:jc w:val="left"/>
              <w:rPr/>
            </w:pPr>
            <w:r>
              <w:rPr/>
              <w:t>Section 8.3   The Administrative Agent Individually.</w:t>
            </w:r>
          </w:p>
        </w:tc>
        <w:tc>
          <w:tcPr>
            <w:tcW w:w="395" w:type="dxa"/>
            <w:tcBorders/>
            <w:vAlign w:val="center"/>
          </w:tcPr>
          <w:p>
            <w:pPr>
              <w:pStyle w:val="TableContents"/>
              <w:bidi w:val="0"/>
              <w:spacing w:before="0" w:after="283"/>
              <w:ind w:left="0" w:right="0" w:hanging="720"/>
              <w:jc w:val="right"/>
              <w:rPr/>
            </w:pPr>
            <w:r>
              <w:rPr/>
              <w:t>140</w:t>
            </w:r>
          </w:p>
        </w:tc>
      </w:tr>
      <w:tr>
        <w:trPr/>
        <w:tc>
          <w:tcPr>
            <w:tcW w:w="7175" w:type="dxa"/>
            <w:tcBorders/>
            <w:vAlign w:val="center"/>
          </w:tcPr>
          <w:p>
            <w:pPr>
              <w:pStyle w:val="TableContents"/>
              <w:bidi w:val="0"/>
              <w:spacing w:before="0" w:after="283"/>
              <w:jc w:val="left"/>
              <w:rPr/>
            </w:pPr>
            <w:r>
              <w:rPr/>
              <w:t>Section 8.4   Acknowledgements of Lenders and Issuing Lenders.</w:t>
            </w:r>
          </w:p>
        </w:tc>
        <w:tc>
          <w:tcPr>
            <w:tcW w:w="395" w:type="dxa"/>
            <w:tcBorders/>
            <w:vAlign w:val="center"/>
          </w:tcPr>
          <w:p>
            <w:pPr>
              <w:pStyle w:val="TableContents"/>
              <w:bidi w:val="0"/>
              <w:spacing w:before="0" w:after="283"/>
              <w:ind w:left="0" w:right="0" w:hanging="720"/>
              <w:jc w:val="right"/>
              <w:rPr/>
            </w:pPr>
            <w:r>
              <w:rPr/>
              <w:t>141</w:t>
            </w:r>
          </w:p>
        </w:tc>
      </w:tr>
      <w:tr>
        <w:trPr/>
        <w:tc>
          <w:tcPr>
            <w:tcW w:w="7175" w:type="dxa"/>
            <w:tcBorders/>
            <w:vAlign w:val="center"/>
          </w:tcPr>
          <w:p>
            <w:pPr>
              <w:pStyle w:val="TableContents"/>
              <w:bidi w:val="0"/>
              <w:spacing w:before="0" w:after="283"/>
              <w:jc w:val="left"/>
              <w:rPr/>
            </w:pPr>
            <w:r>
              <w:rPr/>
              <w:t>Section 8.5   [Reserved].</w:t>
            </w:r>
          </w:p>
        </w:tc>
        <w:tc>
          <w:tcPr>
            <w:tcW w:w="395" w:type="dxa"/>
            <w:tcBorders/>
            <w:vAlign w:val="center"/>
          </w:tcPr>
          <w:p>
            <w:pPr>
              <w:pStyle w:val="TableContents"/>
              <w:bidi w:val="0"/>
              <w:spacing w:before="0" w:after="283"/>
              <w:ind w:left="0" w:right="0" w:hanging="720"/>
              <w:jc w:val="right"/>
              <w:rPr/>
            </w:pPr>
            <w:r>
              <w:rPr/>
              <w:t>141</w:t>
            </w:r>
          </w:p>
        </w:tc>
      </w:tr>
      <w:tr>
        <w:trPr/>
        <w:tc>
          <w:tcPr>
            <w:tcW w:w="7175" w:type="dxa"/>
            <w:tcBorders/>
            <w:vAlign w:val="center"/>
          </w:tcPr>
          <w:p>
            <w:pPr>
              <w:pStyle w:val="TableContents"/>
              <w:bidi w:val="0"/>
              <w:spacing w:before="0" w:after="283"/>
              <w:jc w:val="left"/>
              <w:rPr/>
            </w:pPr>
            <w:r>
              <w:rPr/>
              <w:t>Section 8.6   [Reserved].</w:t>
            </w:r>
          </w:p>
        </w:tc>
        <w:tc>
          <w:tcPr>
            <w:tcW w:w="395" w:type="dxa"/>
            <w:tcBorders/>
            <w:vAlign w:val="center"/>
          </w:tcPr>
          <w:p>
            <w:pPr>
              <w:pStyle w:val="TableContents"/>
              <w:bidi w:val="0"/>
              <w:spacing w:before="0" w:after="283"/>
              <w:ind w:left="0" w:right="0" w:hanging="720"/>
              <w:jc w:val="right"/>
              <w:rPr/>
            </w:pPr>
            <w:r>
              <w:rPr/>
              <w:t>141</w:t>
            </w:r>
          </w:p>
        </w:tc>
      </w:tr>
      <w:tr>
        <w:trPr/>
        <w:tc>
          <w:tcPr>
            <w:tcW w:w="7175" w:type="dxa"/>
            <w:tcBorders/>
            <w:vAlign w:val="center"/>
          </w:tcPr>
          <w:p>
            <w:pPr>
              <w:pStyle w:val="TableContents"/>
              <w:bidi w:val="0"/>
              <w:spacing w:before="0" w:after="283"/>
              <w:jc w:val="left"/>
              <w:rPr/>
            </w:pPr>
            <w:r>
              <w:rPr/>
              <w:t>Section 8.7   Resignation of Administrative Agent.</w:t>
            </w:r>
          </w:p>
        </w:tc>
        <w:tc>
          <w:tcPr>
            <w:tcW w:w="395" w:type="dxa"/>
            <w:tcBorders/>
            <w:vAlign w:val="center"/>
          </w:tcPr>
          <w:p>
            <w:pPr>
              <w:pStyle w:val="TableContents"/>
              <w:bidi w:val="0"/>
              <w:spacing w:before="0" w:after="283"/>
              <w:ind w:left="0" w:right="0" w:hanging="720"/>
              <w:jc w:val="right"/>
              <w:rPr/>
            </w:pPr>
            <w:r>
              <w:rPr/>
              <w:t>141</w:t>
            </w:r>
          </w:p>
        </w:tc>
      </w:tr>
      <w:tr>
        <w:trPr/>
        <w:tc>
          <w:tcPr>
            <w:tcW w:w="7175" w:type="dxa"/>
            <w:tcBorders/>
            <w:vAlign w:val="center"/>
          </w:tcPr>
          <w:p>
            <w:pPr>
              <w:pStyle w:val="TableContents"/>
              <w:bidi w:val="0"/>
              <w:spacing w:before="0" w:after="283"/>
              <w:jc w:val="left"/>
              <w:rPr/>
            </w:pPr>
            <w:r>
              <w:rPr/>
              <w:t>Section 8.8   [Reserved].</w:t>
            </w:r>
          </w:p>
        </w:tc>
        <w:tc>
          <w:tcPr>
            <w:tcW w:w="395" w:type="dxa"/>
            <w:tcBorders/>
            <w:vAlign w:val="center"/>
          </w:tcPr>
          <w:p>
            <w:pPr>
              <w:pStyle w:val="TableContents"/>
              <w:bidi w:val="0"/>
              <w:spacing w:before="0" w:after="283"/>
              <w:ind w:left="0" w:right="0" w:hanging="720"/>
              <w:jc w:val="right"/>
              <w:rPr/>
            </w:pPr>
            <w:r>
              <w:rPr/>
              <w:t>143</w:t>
            </w:r>
          </w:p>
        </w:tc>
      </w:tr>
      <w:tr>
        <w:trPr/>
        <w:tc>
          <w:tcPr>
            <w:tcW w:w="7175" w:type="dxa"/>
            <w:tcBorders/>
            <w:vAlign w:val="center"/>
          </w:tcPr>
          <w:p>
            <w:pPr>
              <w:pStyle w:val="TableContents"/>
              <w:bidi w:val="0"/>
              <w:spacing w:before="0" w:after="283"/>
              <w:jc w:val="left"/>
              <w:rPr/>
            </w:pPr>
            <w:r>
              <w:rPr/>
              <w:t>Section 8.9   [Reserved].</w:t>
            </w:r>
          </w:p>
        </w:tc>
        <w:tc>
          <w:tcPr>
            <w:tcW w:w="395" w:type="dxa"/>
            <w:tcBorders/>
            <w:vAlign w:val="center"/>
          </w:tcPr>
          <w:p>
            <w:pPr>
              <w:pStyle w:val="TableContents"/>
              <w:bidi w:val="0"/>
              <w:spacing w:before="0" w:after="283"/>
              <w:ind w:left="0" w:right="0" w:hanging="720"/>
              <w:jc w:val="right"/>
              <w:rPr/>
            </w:pPr>
            <w:r>
              <w:rPr/>
              <w:t>143</w:t>
            </w:r>
          </w:p>
        </w:tc>
      </w:tr>
      <w:tr>
        <w:trPr/>
        <w:tc>
          <w:tcPr>
            <w:tcW w:w="7175" w:type="dxa"/>
            <w:tcBorders/>
            <w:vAlign w:val="center"/>
          </w:tcPr>
          <w:p>
            <w:pPr>
              <w:pStyle w:val="TableContents"/>
              <w:bidi w:val="0"/>
              <w:spacing w:before="0" w:after="283"/>
              <w:jc w:val="left"/>
              <w:rPr/>
            </w:pPr>
            <w:r>
              <w:rPr/>
              <w:t>Section 8.10   [Reserved].</w:t>
            </w:r>
          </w:p>
        </w:tc>
        <w:tc>
          <w:tcPr>
            <w:tcW w:w="395" w:type="dxa"/>
            <w:tcBorders/>
            <w:vAlign w:val="center"/>
          </w:tcPr>
          <w:p>
            <w:pPr>
              <w:pStyle w:val="TableContents"/>
              <w:bidi w:val="0"/>
              <w:spacing w:before="0" w:after="283"/>
              <w:ind w:left="0" w:right="0" w:hanging="720"/>
              <w:jc w:val="right"/>
              <w:rPr/>
            </w:pPr>
            <w:r>
              <w:rPr/>
              <w:t>143</w:t>
            </w:r>
          </w:p>
        </w:tc>
      </w:tr>
      <w:tr>
        <w:trPr/>
        <w:tc>
          <w:tcPr>
            <w:tcW w:w="7175" w:type="dxa"/>
            <w:tcBorders/>
            <w:vAlign w:val="center"/>
          </w:tcPr>
          <w:p>
            <w:pPr>
              <w:pStyle w:val="TableContents"/>
              <w:bidi w:val="0"/>
              <w:spacing w:before="0" w:after="283"/>
              <w:jc w:val="left"/>
              <w:rPr/>
            </w:pPr>
            <w:r>
              <w:rPr/>
              <w:t>Section 8.11   Collateral and Guaranty Matters.</w:t>
            </w:r>
          </w:p>
        </w:tc>
        <w:tc>
          <w:tcPr>
            <w:tcW w:w="395" w:type="dxa"/>
            <w:tcBorders/>
            <w:vAlign w:val="center"/>
          </w:tcPr>
          <w:p>
            <w:pPr>
              <w:pStyle w:val="TableContents"/>
              <w:bidi w:val="0"/>
              <w:spacing w:before="0" w:after="283"/>
              <w:ind w:left="0" w:right="0" w:hanging="720"/>
              <w:jc w:val="right"/>
              <w:rPr/>
            </w:pPr>
            <w:r>
              <w:rPr/>
              <w:t>143</w:t>
            </w:r>
          </w:p>
        </w:tc>
      </w:tr>
      <w:tr>
        <w:trPr/>
        <w:tc>
          <w:tcPr>
            <w:tcW w:w="7175" w:type="dxa"/>
            <w:tcBorders/>
            <w:vAlign w:val="center"/>
          </w:tcPr>
          <w:p>
            <w:pPr>
              <w:pStyle w:val="TableContents"/>
              <w:bidi w:val="0"/>
              <w:spacing w:before="0" w:after="283"/>
              <w:jc w:val="left"/>
              <w:rPr/>
            </w:pPr>
            <w:r>
              <w:rPr/>
              <w:t>Section 8.12   [Reserved].</w:t>
            </w:r>
          </w:p>
        </w:tc>
        <w:tc>
          <w:tcPr>
            <w:tcW w:w="395" w:type="dxa"/>
            <w:tcBorders/>
            <w:vAlign w:val="center"/>
          </w:tcPr>
          <w:p>
            <w:pPr>
              <w:pStyle w:val="TableContents"/>
              <w:bidi w:val="0"/>
              <w:spacing w:before="0" w:after="283"/>
              <w:ind w:left="0" w:right="0" w:hanging="720"/>
              <w:jc w:val="right"/>
              <w:rPr/>
            </w:pPr>
            <w:r>
              <w:rPr/>
              <w:t>144</w:t>
            </w:r>
          </w:p>
        </w:tc>
      </w:tr>
      <w:tr>
        <w:trPr/>
        <w:tc>
          <w:tcPr>
            <w:tcW w:w="7175" w:type="dxa"/>
            <w:tcBorders/>
            <w:vAlign w:val="center"/>
          </w:tcPr>
          <w:p>
            <w:pPr>
              <w:pStyle w:val="TableContents"/>
              <w:bidi w:val="0"/>
              <w:spacing w:before="0" w:after="283"/>
              <w:jc w:val="left"/>
              <w:rPr/>
            </w:pPr>
            <w:r>
              <w:rPr/>
              <w:t>Section 8.13   Indemnification.</w:t>
            </w:r>
          </w:p>
        </w:tc>
        <w:tc>
          <w:tcPr>
            <w:tcW w:w="395" w:type="dxa"/>
            <w:tcBorders/>
            <w:vAlign w:val="center"/>
          </w:tcPr>
          <w:p>
            <w:pPr>
              <w:pStyle w:val="TableContents"/>
              <w:bidi w:val="0"/>
              <w:spacing w:before="0" w:after="283"/>
              <w:ind w:left="0" w:right="0" w:hanging="720"/>
              <w:jc w:val="right"/>
              <w:rPr/>
            </w:pPr>
            <w:r>
              <w:rPr/>
              <w:t>144</w:t>
            </w:r>
          </w:p>
        </w:tc>
      </w:tr>
      <w:tr>
        <w:trPr/>
        <w:tc>
          <w:tcPr>
            <w:tcW w:w="7175" w:type="dxa"/>
            <w:tcBorders/>
            <w:vAlign w:val="center"/>
          </w:tcPr>
          <w:p>
            <w:pPr>
              <w:pStyle w:val="TableContents"/>
              <w:bidi w:val="0"/>
              <w:spacing w:before="0" w:after="283"/>
              <w:jc w:val="left"/>
              <w:rPr/>
            </w:pPr>
            <w:r>
              <w:rPr/>
              <w:t>Section 8.14   Credit Bidding.</w:t>
            </w:r>
          </w:p>
        </w:tc>
        <w:tc>
          <w:tcPr>
            <w:tcW w:w="395" w:type="dxa"/>
            <w:tcBorders/>
            <w:vAlign w:val="center"/>
          </w:tcPr>
          <w:p>
            <w:pPr>
              <w:pStyle w:val="TableContents"/>
              <w:bidi w:val="0"/>
              <w:spacing w:before="0" w:after="283"/>
              <w:ind w:left="0" w:right="0" w:hanging="720"/>
              <w:jc w:val="right"/>
              <w:rPr/>
            </w:pPr>
            <w:r>
              <w:rPr/>
              <w:t>144</w:t>
            </w:r>
          </w:p>
        </w:tc>
      </w:tr>
      <w:tr>
        <w:trPr/>
        <w:tc>
          <w:tcPr>
            <w:tcW w:w="7175" w:type="dxa"/>
            <w:tcBorders/>
            <w:vAlign w:val="center"/>
          </w:tcPr>
          <w:p>
            <w:pPr>
              <w:pStyle w:val="TableContents"/>
              <w:bidi w:val="0"/>
              <w:spacing w:before="0" w:after="283"/>
              <w:jc w:val="left"/>
              <w:rPr/>
            </w:pPr>
            <w:r>
              <w:rPr/>
              <w:t>Section 8.15   Withholding Taxes.</w:t>
            </w:r>
          </w:p>
        </w:tc>
        <w:tc>
          <w:tcPr>
            <w:tcW w:w="395" w:type="dxa"/>
            <w:tcBorders/>
            <w:vAlign w:val="center"/>
          </w:tcPr>
          <w:p>
            <w:pPr>
              <w:pStyle w:val="TableContents"/>
              <w:bidi w:val="0"/>
              <w:spacing w:before="0" w:after="283"/>
              <w:ind w:left="0" w:right="0" w:hanging="720"/>
              <w:jc w:val="right"/>
              <w:rPr/>
            </w:pPr>
            <w:r>
              <w:rPr/>
              <w:t>144</w:t>
            </w:r>
          </w:p>
        </w:tc>
      </w:tr>
      <w:tr>
        <w:trPr/>
        <w:tc>
          <w:tcPr>
            <w:tcW w:w="7175" w:type="dxa"/>
            <w:tcBorders/>
            <w:vAlign w:val="center"/>
          </w:tcPr>
          <w:p>
            <w:pPr>
              <w:pStyle w:val="TableContents"/>
              <w:bidi w:val="0"/>
              <w:spacing w:before="0" w:after="283"/>
              <w:jc w:val="left"/>
              <w:rPr/>
            </w:pPr>
            <w:r>
              <w:rPr/>
              <w:t>Section 8.16   [Reserved].</w:t>
            </w:r>
          </w:p>
        </w:tc>
        <w:tc>
          <w:tcPr>
            <w:tcW w:w="395" w:type="dxa"/>
            <w:tcBorders/>
            <w:vAlign w:val="center"/>
          </w:tcPr>
          <w:p>
            <w:pPr>
              <w:pStyle w:val="TableContents"/>
              <w:bidi w:val="0"/>
              <w:spacing w:before="0" w:after="283"/>
              <w:ind w:left="0" w:right="0" w:hanging="720"/>
              <w:jc w:val="right"/>
              <w:rPr/>
            </w:pPr>
            <w:r>
              <w:rPr/>
              <w:t>145</w:t>
            </w:r>
          </w:p>
        </w:tc>
      </w:tr>
      <w:tr>
        <w:trPr/>
        <w:tc>
          <w:tcPr>
            <w:tcW w:w="7175" w:type="dxa"/>
            <w:tcBorders/>
            <w:vAlign w:val="center"/>
          </w:tcPr>
          <w:p>
            <w:pPr>
              <w:pStyle w:val="TableContents"/>
              <w:bidi w:val="0"/>
              <w:spacing w:before="0" w:after="283"/>
              <w:jc w:val="left"/>
              <w:rPr/>
            </w:pPr>
            <w:r>
              <w:rPr/>
              <w:t>Section 8.17   [Reserved].</w:t>
            </w:r>
          </w:p>
        </w:tc>
        <w:tc>
          <w:tcPr>
            <w:tcW w:w="395" w:type="dxa"/>
            <w:tcBorders/>
            <w:vAlign w:val="center"/>
          </w:tcPr>
          <w:p>
            <w:pPr>
              <w:pStyle w:val="TableContents"/>
              <w:bidi w:val="0"/>
              <w:spacing w:before="0" w:after="283"/>
              <w:ind w:left="0" w:right="0" w:hanging="720"/>
              <w:jc w:val="right"/>
              <w:rPr/>
            </w:pPr>
            <w:r>
              <w:rPr/>
              <w:t>145</w:t>
            </w:r>
          </w:p>
        </w:tc>
      </w:tr>
      <w:tr>
        <w:trPr/>
        <w:tc>
          <w:tcPr>
            <w:tcW w:w="7175" w:type="dxa"/>
            <w:tcBorders/>
            <w:vAlign w:val="center"/>
          </w:tcPr>
          <w:p>
            <w:pPr>
              <w:pStyle w:val="TableContents"/>
              <w:bidi w:val="0"/>
              <w:spacing w:before="0" w:after="283"/>
              <w:jc w:val="left"/>
              <w:rPr/>
            </w:pPr>
            <w:r>
              <w:rPr/>
              <w:t>Section 8.18   Lender Actions.</w:t>
            </w:r>
          </w:p>
        </w:tc>
        <w:tc>
          <w:tcPr>
            <w:tcW w:w="395" w:type="dxa"/>
            <w:tcBorders/>
            <w:vAlign w:val="center"/>
          </w:tcPr>
          <w:p>
            <w:pPr>
              <w:pStyle w:val="TableContents"/>
              <w:bidi w:val="0"/>
              <w:spacing w:before="0" w:after="283"/>
              <w:ind w:left="0" w:right="0" w:hanging="720"/>
              <w:jc w:val="right"/>
              <w:rPr/>
            </w:pPr>
            <w:r>
              <w:rPr/>
              <w:t>145</w:t>
            </w:r>
          </w:p>
        </w:tc>
      </w:tr>
      <w:tr>
        <w:trPr/>
        <w:tc>
          <w:tcPr>
            <w:tcW w:w="7175" w:type="dxa"/>
            <w:tcBorders/>
            <w:vAlign w:val="center"/>
          </w:tcPr>
          <w:p>
            <w:pPr>
              <w:pStyle w:val="TableContents"/>
              <w:bidi w:val="0"/>
              <w:spacing w:before="0" w:after="283"/>
              <w:jc w:val="left"/>
              <w:rPr/>
            </w:pPr>
            <w:r>
              <w:rPr/>
              <w:t>Section 8.19   Secured Bank Product Obligations</w:t>
            </w:r>
          </w:p>
        </w:tc>
        <w:tc>
          <w:tcPr>
            <w:tcW w:w="395" w:type="dxa"/>
            <w:tcBorders/>
            <w:vAlign w:val="center"/>
          </w:tcPr>
          <w:p>
            <w:pPr>
              <w:pStyle w:val="TableContents"/>
              <w:bidi w:val="0"/>
              <w:spacing w:before="0" w:after="283"/>
              <w:ind w:left="0" w:right="0" w:hanging="720"/>
              <w:jc w:val="right"/>
              <w:rPr/>
            </w:pPr>
            <w:r>
              <w:rPr/>
              <w:t>145</w:t>
            </w:r>
          </w:p>
        </w:tc>
      </w:tr>
      <w:tr>
        <w:trPr/>
        <w:tc>
          <w:tcPr>
            <w:tcW w:w="7175" w:type="dxa"/>
            <w:tcBorders/>
            <w:vAlign w:val="center"/>
          </w:tcPr>
          <w:p>
            <w:pPr>
              <w:pStyle w:val="TableContents"/>
              <w:bidi w:val="0"/>
              <w:spacing w:before="0" w:after="283"/>
              <w:jc w:val="left"/>
              <w:rPr/>
            </w:pPr>
            <w:r>
              <w:rPr/>
              <w:t>Section 8.20   Erroneous Payments.</w:t>
            </w:r>
          </w:p>
        </w:tc>
        <w:tc>
          <w:tcPr>
            <w:tcW w:w="395" w:type="dxa"/>
            <w:tcBorders/>
            <w:vAlign w:val="center"/>
          </w:tcPr>
          <w:p>
            <w:pPr>
              <w:pStyle w:val="TableContents"/>
              <w:bidi w:val="0"/>
              <w:spacing w:before="0" w:after="283"/>
              <w:ind w:left="0" w:right="0" w:hanging="1728"/>
              <w:jc w:val="right"/>
              <w:rPr/>
            </w:pPr>
            <w:r>
              <w:rPr/>
              <w:t>145</w:t>
            </w:r>
          </w:p>
        </w:tc>
      </w:tr>
      <w:tr>
        <w:trPr/>
        <w:tc>
          <w:tcPr>
            <w:tcW w:w="7175" w:type="dxa"/>
            <w:tcBorders/>
            <w:vAlign w:val="center"/>
          </w:tcPr>
          <w:p>
            <w:pPr>
              <w:pStyle w:val="TableContents"/>
              <w:bidi w:val="0"/>
              <w:spacing w:before="0" w:after="283"/>
              <w:jc w:val="left"/>
              <w:rPr/>
            </w:pPr>
            <w:r>
              <w:rPr/>
              <w:t>Article IX MISCELLANEOUS</w:t>
            </w:r>
          </w:p>
        </w:tc>
        <w:tc>
          <w:tcPr>
            <w:tcW w:w="395" w:type="dxa"/>
            <w:tcBorders/>
            <w:vAlign w:val="center"/>
          </w:tcPr>
          <w:p>
            <w:pPr>
              <w:pStyle w:val="TableContents"/>
              <w:bidi w:val="0"/>
              <w:spacing w:before="0" w:after="283"/>
              <w:ind w:left="0" w:right="0" w:hanging="720"/>
              <w:jc w:val="right"/>
              <w:rPr/>
            </w:pPr>
            <w:r>
              <w:rPr/>
              <w:t>148</w:t>
            </w:r>
          </w:p>
        </w:tc>
      </w:tr>
      <w:tr>
        <w:trPr/>
        <w:tc>
          <w:tcPr>
            <w:tcW w:w="7175" w:type="dxa"/>
            <w:tcBorders/>
            <w:vAlign w:val="center"/>
          </w:tcPr>
          <w:p>
            <w:pPr>
              <w:pStyle w:val="TableContents"/>
              <w:bidi w:val="0"/>
              <w:spacing w:before="0" w:after="283"/>
              <w:jc w:val="left"/>
              <w:rPr/>
            </w:pPr>
            <w:r>
              <w:rPr/>
              <w:t>Section 9.1   Amendments, Waivers, Consents and Release of Collateral.</w:t>
            </w:r>
          </w:p>
        </w:tc>
        <w:tc>
          <w:tcPr>
            <w:tcW w:w="395" w:type="dxa"/>
            <w:tcBorders/>
            <w:vAlign w:val="center"/>
          </w:tcPr>
          <w:p>
            <w:pPr>
              <w:pStyle w:val="TableContents"/>
              <w:bidi w:val="0"/>
              <w:spacing w:before="0" w:after="283"/>
              <w:ind w:left="0" w:right="0" w:hanging="720"/>
              <w:jc w:val="right"/>
              <w:rPr/>
            </w:pPr>
            <w:r>
              <w:rPr/>
              <w:t>148</w:t>
            </w:r>
          </w:p>
        </w:tc>
      </w:tr>
      <w:tr>
        <w:trPr/>
        <w:tc>
          <w:tcPr>
            <w:tcW w:w="7175" w:type="dxa"/>
            <w:tcBorders/>
            <w:vAlign w:val="center"/>
          </w:tcPr>
          <w:p>
            <w:pPr>
              <w:pStyle w:val="TableContents"/>
              <w:bidi w:val="0"/>
              <w:spacing w:before="0" w:after="283"/>
              <w:jc w:val="left"/>
              <w:rPr/>
            </w:pPr>
            <w:r>
              <w:rPr/>
              <w:t>Section 9.2   Notices.</w:t>
            </w:r>
          </w:p>
        </w:tc>
        <w:tc>
          <w:tcPr>
            <w:tcW w:w="395" w:type="dxa"/>
            <w:tcBorders/>
            <w:vAlign w:val="center"/>
          </w:tcPr>
          <w:p>
            <w:pPr>
              <w:pStyle w:val="TableContents"/>
              <w:bidi w:val="0"/>
              <w:spacing w:before="0" w:after="283"/>
              <w:ind w:left="0" w:right="0" w:hanging="720"/>
              <w:jc w:val="right"/>
              <w:rPr/>
            </w:pPr>
            <w:r>
              <w:rPr/>
              <w:t>151</w:t>
            </w:r>
          </w:p>
        </w:tc>
      </w:tr>
      <w:tr>
        <w:trPr/>
        <w:tc>
          <w:tcPr>
            <w:tcW w:w="7175" w:type="dxa"/>
            <w:tcBorders/>
            <w:vAlign w:val="center"/>
          </w:tcPr>
          <w:p>
            <w:pPr>
              <w:pStyle w:val="TableContents"/>
              <w:bidi w:val="0"/>
              <w:spacing w:before="0" w:after="283"/>
              <w:jc w:val="left"/>
              <w:rPr/>
            </w:pPr>
            <w:r>
              <w:rPr/>
              <w:t>Section 9.3   No Waiver; Cumulative Remedies.</w:t>
            </w:r>
          </w:p>
        </w:tc>
        <w:tc>
          <w:tcPr>
            <w:tcW w:w="395" w:type="dxa"/>
            <w:tcBorders/>
            <w:vAlign w:val="center"/>
          </w:tcPr>
          <w:p>
            <w:pPr>
              <w:pStyle w:val="TableContents"/>
              <w:bidi w:val="0"/>
              <w:spacing w:before="0" w:after="283"/>
              <w:ind w:left="0" w:right="0" w:hanging="720"/>
              <w:jc w:val="right"/>
              <w:rPr/>
            </w:pPr>
            <w:r>
              <w:rPr/>
              <w:t>153</w:t>
            </w:r>
          </w:p>
        </w:tc>
      </w:tr>
      <w:tr>
        <w:trPr/>
        <w:tc>
          <w:tcPr>
            <w:tcW w:w="7175" w:type="dxa"/>
            <w:tcBorders/>
            <w:vAlign w:val="center"/>
          </w:tcPr>
          <w:p>
            <w:pPr>
              <w:pStyle w:val="TableContents"/>
              <w:bidi w:val="0"/>
              <w:spacing w:before="0" w:after="283"/>
              <w:jc w:val="left"/>
              <w:rPr/>
            </w:pPr>
            <w:r>
              <w:rPr/>
              <w:t>Section 9.4   Survival of Representations and Warranties.</w:t>
            </w:r>
          </w:p>
        </w:tc>
        <w:tc>
          <w:tcPr>
            <w:tcW w:w="395" w:type="dxa"/>
            <w:tcBorders/>
            <w:vAlign w:val="center"/>
          </w:tcPr>
          <w:p>
            <w:pPr>
              <w:pStyle w:val="TableContents"/>
              <w:bidi w:val="0"/>
              <w:spacing w:before="0" w:after="283"/>
              <w:ind w:left="0" w:right="0" w:hanging="720"/>
              <w:jc w:val="right"/>
              <w:rPr/>
            </w:pPr>
            <w:r>
              <w:rPr/>
              <w:t>153</w:t>
            </w:r>
          </w:p>
        </w:tc>
      </w:tr>
      <w:tr>
        <w:trPr/>
        <w:tc>
          <w:tcPr>
            <w:tcW w:w="7175" w:type="dxa"/>
            <w:tcBorders/>
            <w:vAlign w:val="center"/>
          </w:tcPr>
          <w:p>
            <w:pPr>
              <w:pStyle w:val="TableContents"/>
              <w:bidi w:val="0"/>
              <w:spacing w:before="0" w:after="283"/>
              <w:jc w:val="left"/>
              <w:rPr/>
            </w:pPr>
            <w:r>
              <w:rPr/>
              <w:t>Section 9.5   Payment of Expenses and Taxes; Indemnity.</w:t>
            </w:r>
          </w:p>
        </w:tc>
        <w:tc>
          <w:tcPr>
            <w:tcW w:w="395" w:type="dxa"/>
            <w:tcBorders/>
            <w:vAlign w:val="center"/>
          </w:tcPr>
          <w:p>
            <w:pPr>
              <w:pStyle w:val="TableContents"/>
              <w:bidi w:val="0"/>
              <w:spacing w:before="0" w:after="283"/>
              <w:ind w:left="0" w:right="0" w:hanging="720"/>
              <w:jc w:val="right"/>
              <w:rPr/>
            </w:pPr>
            <w:r>
              <w:rPr/>
              <w:t>153</w:t>
            </w:r>
          </w:p>
        </w:tc>
      </w:tr>
      <w:tr>
        <w:trPr/>
        <w:tc>
          <w:tcPr>
            <w:tcW w:w="7175" w:type="dxa"/>
            <w:tcBorders/>
            <w:vAlign w:val="center"/>
          </w:tcPr>
          <w:p>
            <w:pPr>
              <w:pStyle w:val="TableContents"/>
              <w:bidi w:val="0"/>
              <w:spacing w:before="0" w:after="283"/>
              <w:jc w:val="left"/>
              <w:rPr/>
            </w:pPr>
            <w:r>
              <w:rPr/>
              <w:t>Section 9.6   Successors and Assigns; Participations.</w:t>
            </w:r>
          </w:p>
        </w:tc>
        <w:tc>
          <w:tcPr>
            <w:tcW w:w="395" w:type="dxa"/>
            <w:tcBorders/>
            <w:vAlign w:val="center"/>
          </w:tcPr>
          <w:p>
            <w:pPr>
              <w:pStyle w:val="TableContents"/>
              <w:bidi w:val="0"/>
              <w:spacing w:before="0" w:after="283"/>
              <w:ind w:left="0" w:right="0" w:hanging="720"/>
              <w:jc w:val="right"/>
              <w:rPr/>
            </w:pPr>
            <w:r>
              <w:rPr/>
              <w:t>155</w:t>
            </w:r>
          </w:p>
        </w:tc>
      </w:tr>
      <w:tr>
        <w:trPr/>
        <w:tc>
          <w:tcPr>
            <w:tcW w:w="7175" w:type="dxa"/>
            <w:tcBorders/>
            <w:vAlign w:val="center"/>
          </w:tcPr>
          <w:p>
            <w:pPr>
              <w:pStyle w:val="TableContents"/>
              <w:bidi w:val="0"/>
              <w:spacing w:before="0" w:after="283"/>
              <w:jc w:val="left"/>
              <w:rPr/>
            </w:pPr>
            <w:r>
              <w:rPr/>
              <w:t>Section 9.7   Right of Set-off; Sharing of Payments.</w:t>
            </w:r>
          </w:p>
        </w:tc>
        <w:tc>
          <w:tcPr>
            <w:tcW w:w="395" w:type="dxa"/>
            <w:tcBorders/>
            <w:vAlign w:val="center"/>
          </w:tcPr>
          <w:p>
            <w:pPr>
              <w:pStyle w:val="TableContents"/>
              <w:bidi w:val="0"/>
              <w:spacing w:before="0" w:after="283"/>
              <w:ind w:left="0" w:right="0" w:hanging="720"/>
              <w:jc w:val="right"/>
              <w:rPr/>
            </w:pPr>
            <w:r>
              <w:rPr/>
              <w:t>160</w:t>
            </w:r>
          </w:p>
        </w:tc>
      </w:tr>
      <w:tr>
        <w:trPr/>
        <w:tc>
          <w:tcPr>
            <w:tcW w:w="7175" w:type="dxa"/>
            <w:tcBorders/>
            <w:vAlign w:val="center"/>
          </w:tcPr>
          <w:p>
            <w:pPr>
              <w:pStyle w:val="TableContents"/>
              <w:bidi w:val="0"/>
              <w:spacing w:before="0" w:after="283"/>
              <w:jc w:val="left"/>
              <w:rPr/>
            </w:pPr>
            <w:r>
              <w:rPr/>
              <w:t>Section 9.8   Table of Contents and Section Headings.</w:t>
            </w:r>
          </w:p>
        </w:tc>
        <w:tc>
          <w:tcPr>
            <w:tcW w:w="395" w:type="dxa"/>
            <w:tcBorders/>
            <w:vAlign w:val="center"/>
          </w:tcPr>
          <w:p>
            <w:pPr>
              <w:pStyle w:val="TableContents"/>
              <w:bidi w:val="0"/>
              <w:spacing w:before="0" w:after="283"/>
              <w:ind w:left="0" w:right="0" w:hanging="720"/>
              <w:jc w:val="right"/>
              <w:rPr/>
            </w:pPr>
            <w:r>
              <w:rPr/>
              <w:t>161</w:t>
            </w:r>
          </w:p>
        </w:tc>
      </w:tr>
      <w:tr>
        <w:trPr/>
        <w:tc>
          <w:tcPr>
            <w:tcW w:w="7175" w:type="dxa"/>
            <w:tcBorders/>
            <w:vAlign w:val="center"/>
          </w:tcPr>
          <w:p>
            <w:pPr>
              <w:pStyle w:val="TableContents"/>
              <w:bidi w:val="0"/>
              <w:spacing w:before="0" w:after="283"/>
              <w:jc w:val="left"/>
              <w:rPr/>
            </w:pPr>
            <w:r>
              <w:rPr/>
              <w:t>Section 9.9   Counterparts; Integration; Effectiveness; Electronic Execution.</w:t>
            </w:r>
          </w:p>
        </w:tc>
        <w:tc>
          <w:tcPr>
            <w:tcW w:w="395" w:type="dxa"/>
            <w:tcBorders/>
            <w:vAlign w:val="center"/>
          </w:tcPr>
          <w:p>
            <w:pPr>
              <w:pStyle w:val="TableContents"/>
              <w:bidi w:val="0"/>
              <w:spacing w:before="0" w:after="283"/>
              <w:jc w:val="right"/>
              <w:rPr/>
            </w:pPr>
            <w:r>
              <w:rPr/>
              <w:t>161</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iii </w:t>
      </w:r>
    </w:p>
    <w:p>
      <w:pPr>
        <w:pStyle w:val="TextBody"/>
        <w:bidi w:val="0"/>
        <w:spacing w:before="0" w:after="0"/>
        <w:ind w:left="0" w:right="0" w:hanging="0"/>
        <w:jc w:val="left"/>
        <w:rPr/>
      </w:pPr>
      <w:r>
        <w:rPr/>
        <w:t> </w:t>
      </w:r>
    </w:p>
    <w:tbl>
      <w:tblPr>
        <w:tblW w:w="9025" w:type="dxa"/>
        <w:jc w:val="left"/>
        <w:tblInd w:w="0" w:type="dxa"/>
        <w:tblLayout w:type="fixed"/>
        <w:tblCellMar>
          <w:top w:w="0" w:type="dxa"/>
          <w:left w:w="0" w:type="dxa"/>
          <w:bottom w:w="0" w:type="dxa"/>
          <w:right w:w="0" w:type="dxa"/>
        </w:tblCellMar>
      </w:tblPr>
      <w:tblGrid>
        <w:gridCol w:w="8630"/>
        <w:gridCol w:w="395"/>
      </w:tblGrid>
      <w:tr>
        <w:trPr/>
        <w:tc>
          <w:tcPr>
            <w:tcW w:w="8630" w:type="dxa"/>
            <w:tcBorders/>
            <w:vAlign w:val="center"/>
          </w:tcPr>
          <w:p>
            <w:pPr>
              <w:pStyle w:val="TableContents"/>
              <w:bidi w:val="0"/>
              <w:spacing w:before="0" w:after="283"/>
              <w:ind w:left="0" w:right="0" w:hanging="720"/>
              <w:jc w:val="left"/>
              <w:rPr/>
            </w:pPr>
            <w:r>
              <w:rPr/>
              <w:t>Section 9.10   Severability.</w:t>
            </w:r>
          </w:p>
        </w:tc>
        <w:tc>
          <w:tcPr>
            <w:tcW w:w="395" w:type="dxa"/>
            <w:tcBorders/>
            <w:vAlign w:val="center"/>
          </w:tcPr>
          <w:p>
            <w:pPr>
              <w:pStyle w:val="TableContents"/>
              <w:bidi w:val="0"/>
              <w:spacing w:before="0" w:after="283"/>
              <w:ind w:left="0" w:right="0" w:hanging="720"/>
              <w:jc w:val="right"/>
              <w:rPr/>
            </w:pPr>
            <w:r>
              <w:rPr/>
              <w:t>162</w:t>
            </w:r>
          </w:p>
        </w:tc>
      </w:tr>
      <w:tr>
        <w:trPr/>
        <w:tc>
          <w:tcPr>
            <w:tcW w:w="8630" w:type="dxa"/>
            <w:tcBorders/>
            <w:vAlign w:val="center"/>
          </w:tcPr>
          <w:p>
            <w:pPr>
              <w:pStyle w:val="TableContents"/>
              <w:bidi w:val="0"/>
              <w:spacing w:before="0" w:after="283"/>
              <w:jc w:val="left"/>
              <w:rPr/>
            </w:pPr>
            <w:r>
              <w:rPr/>
              <w:t>Section 9.11   Integration.</w:t>
            </w:r>
          </w:p>
        </w:tc>
        <w:tc>
          <w:tcPr>
            <w:tcW w:w="395" w:type="dxa"/>
            <w:tcBorders/>
            <w:vAlign w:val="center"/>
          </w:tcPr>
          <w:p>
            <w:pPr>
              <w:pStyle w:val="TableContents"/>
              <w:bidi w:val="0"/>
              <w:spacing w:before="0" w:after="283"/>
              <w:ind w:left="0" w:right="0" w:hanging="720"/>
              <w:jc w:val="right"/>
              <w:rPr/>
            </w:pPr>
            <w:r>
              <w:rPr/>
              <w:t>163</w:t>
            </w:r>
          </w:p>
        </w:tc>
      </w:tr>
      <w:tr>
        <w:trPr/>
        <w:tc>
          <w:tcPr>
            <w:tcW w:w="8630" w:type="dxa"/>
            <w:tcBorders/>
            <w:vAlign w:val="center"/>
          </w:tcPr>
          <w:p>
            <w:pPr>
              <w:pStyle w:val="TableContents"/>
              <w:bidi w:val="0"/>
              <w:spacing w:before="0" w:after="283"/>
              <w:jc w:val="left"/>
              <w:rPr/>
            </w:pPr>
            <w:r>
              <w:rPr/>
              <w:t>Section 9.12   [Reserved].</w:t>
            </w:r>
          </w:p>
        </w:tc>
        <w:tc>
          <w:tcPr>
            <w:tcW w:w="395" w:type="dxa"/>
            <w:tcBorders/>
            <w:vAlign w:val="center"/>
          </w:tcPr>
          <w:p>
            <w:pPr>
              <w:pStyle w:val="TableContents"/>
              <w:bidi w:val="0"/>
              <w:spacing w:before="0" w:after="283"/>
              <w:ind w:left="0" w:right="0" w:hanging="720"/>
              <w:jc w:val="right"/>
              <w:rPr/>
            </w:pPr>
            <w:r>
              <w:rPr/>
              <w:t>163</w:t>
            </w:r>
          </w:p>
        </w:tc>
      </w:tr>
      <w:tr>
        <w:trPr/>
        <w:tc>
          <w:tcPr>
            <w:tcW w:w="8630" w:type="dxa"/>
            <w:tcBorders/>
            <w:vAlign w:val="center"/>
          </w:tcPr>
          <w:p>
            <w:pPr>
              <w:pStyle w:val="TableContents"/>
              <w:bidi w:val="0"/>
              <w:spacing w:before="0" w:after="283"/>
              <w:jc w:val="left"/>
              <w:rPr/>
            </w:pPr>
            <w:r>
              <w:rPr/>
              <w:t>Section 9.13   Governing Law; Consent to Jurisdiction; Service of Process and Venue.</w:t>
            </w:r>
          </w:p>
        </w:tc>
        <w:tc>
          <w:tcPr>
            <w:tcW w:w="395" w:type="dxa"/>
            <w:tcBorders/>
            <w:vAlign w:val="center"/>
          </w:tcPr>
          <w:p>
            <w:pPr>
              <w:pStyle w:val="TableContents"/>
              <w:bidi w:val="0"/>
              <w:spacing w:before="0" w:after="283"/>
              <w:ind w:left="0" w:right="0" w:hanging="720"/>
              <w:jc w:val="right"/>
              <w:rPr/>
            </w:pPr>
            <w:r>
              <w:rPr/>
              <w:t>163</w:t>
            </w:r>
          </w:p>
        </w:tc>
      </w:tr>
      <w:tr>
        <w:trPr/>
        <w:tc>
          <w:tcPr>
            <w:tcW w:w="8630" w:type="dxa"/>
            <w:tcBorders/>
            <w:vAlign w:val="center"/>
          </w:tcPr>
          <w:p>
            <w:pPr>
              <w:pStyle w:val="TableContents"/>
              <w:bidi w:val="0"/>
              <w:spacing w:before="0" w:after="283"/>
              <w:jc w:val="left"/>
              <w:rPr/>
            </w:pPr>
            <w:r>
              <w:rPr/>
              <w:t>Section 9.14   Treatment of Certain Information; Confidentiality.</w:t>
            </w:r>
          </w:p>
        </w:tc>
        <w:tc>
          <w:tcPr>
            <w:tcW w:w="395" w:type="dxa"/>
            <w:tcBorders/>
            <w:vAlign w:val="center"/>
          </w:tcPr>
          <w:p>
            <w:pPr>
              <w:pStyle w:val="TableContents"/>
              <w:bidi w:val="0"/>
              <w:spacing w:before="0" w:after="283"/>
              <w:ind w:left="0" w:right="0" w:hanging="720"/>
              <w:jc w:val="right"/>
              <w:rPr/>
            </w:pPr>
            <w:r>
              <w:rPr/>
              <w:t>164</w:t>
            </w:r>
          </w:p>
        </w:tc>
      </w:tr>
      <w:tr>
        <w:trPr/>
        <w:tc>
          <w:tcPr>
            <w:tcW w:w="8630" w:type="dxa"/>
            <w:tcBorders/>
            <w:vAlign w:val="center"/>
          </w:tcPr>
          <w:p>
            <w:pPr>
              <w:pStyle w:val="TableContents"/>
              <w:bidi w:val="0"/>
              <w:spacing w:before="0" w:after="283"/>
              <w:jc w:val="left"/>
              <w:rPr/>
            </w:pPr>
            <w:r>
              <w:rPr/>
              <w:t>Section 9.15   Acknowledgments.</w:t>
            </w:r>
          </w:p>
        </w:tc>
        <w:tc>
          <w:tcPr>
            <w:tcW w:w="395" w:type="dxa"/>
            <w:tcBorders/>
            <w:vAlign w:val="center"/>
          </w:tcPr>
          <w:p>
            <w:pPr>
              <w:pStyle w:val="TableContents"/>
              <w:bidi w:val="0"/>
              <w:spacing w:before="0" w:after="283"/>
              <w:ind w:left="0" w:right="0" w:hanging="720"/>
              <w:jc w:val="right"/>
              <w:rPr/>
            </w:pPr>
            <w:r>
              <w:rPr/>
              <w:t>165</w:t>
            </w:r>
          </w:p>
        </w:tc>
      </w:tr>
      <w:tr>
        <w:trPr/>
        <w:tc>
          <w:tcPr>
            <w:tcW w:w="8630" w:type="dxa"/>
            <w:tcBorders/>
            <w:vAlign w:val="center"/>
          </w:tcPr>
          <w:p>
            <w:pPr>
              <w:pStyle w:val="TableContents"/>
              <w:bidi w:val="0"/>
              <w:spacing w:before="0" w:after="283"/>
              <w:jc w:val="left"/>
              <w:rPr/>
            </w:pPr>
            <w:r>
              <w:rPr/>
              <w:t>Section 9.16   Waivers of Jury Trial.</w:t>
            </w:r>
          </w:p>
        </w:tc>
        <w:tc>
          <w:tcPr>
            <w:tcW w:w="395" w:type="dxa"/>
            <w:tcBorders/>
            <w:vAlign w:val="center"/>
          </w:tcPr>
          <w:p>
            <w:pPr>
              <w:pStyle w:val="TableContents"/>
              <w:bidi w:val="0"/>
              <w:spacing w:before="0" w:after="283"/>
              <w:ind w:left="0" w:right="0" w:hanging="720"/>
              <w:jc w:val="right"/>
              <w:rPr/>
            </w:pPr>
            <w:r>
              <w:rPr/>
              <w:t>165</w:t>
            </w:r>
          </w:p>
        </w:tc>
      </w:tr>
      <w:tr>
        <w:trPr/>
        <w:tc>
          <w:tcPr>
            <w:tcW w:w="8630" w:type="dxa"/>
            <w:tcBorders/>
            <w:vAlign w:val="center"/>
          </w:tcPr>
          <w:p>
            <w:pPr>
              <w:pStyle w:val="TableContents"/>
              <w:bidi w:val="0"/>
              <w:spacing w:before="0" w:after="283"/>
              <w:jc w:val="left"/>
              <w:rPr/>
            </w:pPr>
            <w:r>
              <w:rPr/>
              <w:t>Section 9.17   Patriot Act Notice.</w:t>
            </w:r>
          </w:p>
        </w:tc>
        <w:tc>
          <w:tcPr>
            <w:tcW w:w="395" w:type="dxa"/>
            <w:tcBorders/>
            <w:vAlign w:val="center"/>
          </w:tcPr>
          <w:p>
            <w:pPr>
              <w:pStyle w:val="TableContents"/>
              <w:bidi w:val="0"/>
              <w:spacing w:before="0" w:after="283"/>
              <w:ind w:left="0" w:right="0" w:hanging="720"/>
              <w:jc w:val="right"/>
              <w:rPr/>
            </w:pPr>
            <w:r>
              <w:rPr/>
              <w:t>165</w:t>
            </w:r>
          </w:p>
        </w:tc>
      </w:tr>
      <w:tr>
        <w:trPr/>
        <w:tc>
          <w:tcPr>
            <w:tcW w:w="8630" w:type="dxa"/>
            <w:tcBorders/>
            <w:vAlign w:val="center"/>
          </w:tcPr>
          <w:p>
            <w:pPr>
              <w:pStyle w:val="TableContents"/>
              <w:bidi w:val="0"/>
              <w:spacing w:before="0" w:after="283"/>
              <w:jc w:val="left"/>
              <w:rPr/>
            </w:pPr>
            <w:r>
              <w:rPr/>
              <w:t>Section 9.18   Resolution of Drafting Ambiguities.</w:t>
            </w:r>
          </w:p>
        </w:tc>
        <w:tc>
          <w:tcPr>
            <w:tcW w:w="395" w:type="dxa"/>
            <w:tcBorders/>
            <w:vAlign w:val="center"/>
          </w:tcPr>
          <w:p>
            <w:pPr>
              <w:pStyle w:val="TableContents"/>
              <w:bidi w:val="0"/>
              <w:spacing w:before="0" w:after="283"/>
              <w:ind w:left="0" w:right="0" w:hanging="720"/>
              <w:jc w:val="right"/>
              <w:rPr/>
            </w:pPr>
            <w:r>
              <w:rPr/>
              <w:t>166</w:t>
            </w:r>
          </w:p>
        </w:tc>
      </w:tr>
      <w:tr>
        <w:trPr/>
        <w:tc>
          <w:tcPr>
            <w:tcW w:w="8630" w:type="dxa"/>
            <w:tcBorders/>
            <w:vAlign w:val="center"/>
          </w:tcPr>
          <w:p>
            <w:pPr>
              <w:pStyle w:val="TableContents"/>
              <w:bidi w:val="0"/>
              <w:spacing w:before="0" w:after="283"/>
              <w:jc w:val="left"/>
              <w:rPr/>
            </w:pPr>
            <w:r>
              <w:rPr/>
              <w:t>Section 9.19   [Reserved.]</w:t>
            </w:r>
          </w:p>
        </w:tc>
        <w:tc>
          <w:tcPr>
            <w:tcW w:w="395" w:type="dxa"/>
            <w:tcBorders/>
            <w:vAlign w:val="center"/>
          </w:tcPr>
          <w:p>
            <w:pPr>
              <w:pStyle w:val="TableContents"/>
              <w:bidi w:val="0"/>
              <w:spacing w:before="0" w:after="283"/>
              <w:ind w:left="0" w:right="0" w:hanging="720"/>
              <w:jc w:val="right"/>
              <w:rPr/>
            </w:pPr>
            <w:r>
              <w:rPr/>
              <w:t>166</w:t>
            </w:r>
          </w:p>
        </w:tc>
      </w:tr>
      <w:tr>
        <w:trPr/>
        <w:tc>
          <w:tcPr>
            <w:tcW w:w="8630" w:type="dxa"/>
            <w:tcBorders/>
            <w:vAlign w:val="center"/>
          </w:tcPr>
          <w:p>
            <w:pPr>
              <w:pStyle w:val="TableContents"/>
              <w:bidi w:val="0"/>
              <w:spacing w:before="0" w:after="283"/>
              <w:jc w:val="left"/>
              <w:rPr/>
            </w:pPr>
            <w:r>
              <w:rPr/>
              <w:t>Section 9.20   Continuing Agreement.</w:t>
            </w:r>
          </w:p>
        </w:tc>
        <w:tc>
          <w:tcPr>
            <w:tcW w:w="395" w:type="dxa"/>
            <w:tcBorders/>
            <w:vAlign w:val="center"/>
          </w:tcPr>
          <w:p>
            <w:pPr>
              <w:pStyle w:val="TableContents"/>
              <w:bidi w:val="0"/>
              <w:spacing w:before="0" w:after="283"/>
              <w:ind w:left="0" w:right="0" w:hanging="720"/>
              <w:jc w:val="right"/>
              <w:rPr/>
            </w:pPr>
            <w:r>
              <w:rPr/>
              <w:t>166</w:t>
            </w:r>
          </w:p>
        </w:tc>
      </w:tr>
      <w:tr>
        <w:trPr/>
        <w:tc>
          <w:tcPr>
            <w:tcW w:w="8630" w:type="dxa"/>
            <w:tcBorders/>
            <w:vAlign w:val="center"/>
          </w:tcPr>
          <w:p>
            <w:pPr>
              <w:pStyle w:val="TableContents"/>
              <w:bidi w:val="0"/>
              <w:spacing w:before="0" w:after="283"/>
              <w:jc w:val="left"/>
              <w:rPr/>
            </w:pPr>
            <w:r>
              <w:rPr/>
              <w:t>Section 9.21   [Reserved.]</w:t>
            </w:r>
          </w:p>
        </w:tc>
        <w:tc>
          <w:tcPr>
            <w:tcW w:w="395" w:type="dxa"/>
            <w:tcBorders/>
            <w:vAlign w:val="center"/>
          </w:tcPr>
          <w:p>
            <w:pPr>
              <w:pStyle w:val="TableContents"/>
              <w:bidi w:val="0"/>
              <w:spacing w:before="0" w:after="283"/>
              <w:ind w:left="0" w:right="0" w:hanging="720"/>
              <w:jc w:val="right"/>
              <w:rPr/>
            </w:pPr>
            <w:r>
              <w:rPr/>
              <w:t>166</w:t>
            </w:r>
          </w:p>
        </w:tc>
      </w:tr>
      <w:tr>
        <w:trPr/>
        <w:tc>
          <w:tcPr>
            <w:tcW w:w="8630" w:type="dxa"/>
            <w:tcBorders/>
            <w:vAlign w:val="center"/>
          </w:tcPr>
          <w:p>
            <w:pPr>
              <w:pStyle w:val="TableContents"/>
              <w:bidi w:val="0"/>
              <w:spacing w:before="0" w:after="283"/>
              <w:jc w:val="left"/>
              <w:rPr/>
            </w:pPr>
            <w:r>
              <w:rPr/>
              <w:t>Section 9.22   Appointment of Borrower.</w:t>
            </w:r>
          </w:p>
        </w:tc>
        <w:tc>
          <w:tcPr>
            <w:tcW w:w="395" w:type="dxa"/>
            <w:tcBorders/>
            <w:vAlign w:val="center"/>
          </w:tcPr>
          <w:p>
            <w:pPr>
              <w:pStyle w:val="TableContents"/>
              <w:bidi w:val="0"/>
              <w:spacing w:before="0" w:after="283"/>
              <w:ind w:left="0" w:right="0" w:hanging="720"/>
              <w:jc w:val="right"/>
              <w:rPr/>
            </w:pPr>
            <w:r>
              <w:rPr/>
              <w:t>166</w:t>
            </w:r>
          </w:p>
        </w:tc>
      </w:tr>
      <w:tr>
        <w:trPr/>
        <w:tc>
          <w:tcPr>
            <w:tcW w:w="8630" w:type="dxa"/>
            <w:tcBorders/>
            <w:vAlign w:val="center"/>
          </w:tcPr>
          <w:p>
            <w:pPr>
              <w:pStyle w:val="TableContents"/>
              <w:bidi w:val="0"/>
              <w:spacing w:before="0" w:after="283"/>
              <w:jc w:val="left"/>
              <w:rPr/>
            </w:pPr>
            <w:r>
              <w:rPr/>
              <w:t>Section 9.23   No Advisory or Fiduciary Responsibility.</w:t>
            </w:r>
          </w:p>
        </w:tc>
        <w:tc>
          <w:tcPr>
            <w:tcW w:w="395" w:type="dxa"/>
            <w:tcBorders/>
            <w:vAlign w:val="center"/>
          </w:tcPr>
          <w:p>
            <w:pPr>
              <w:pStyle w:val="TableContents"/>
              <w:bidi w:val="0"/>
              <w:spacing w:before="0" w:after="283"/>
              <w:ind w:left="0" w:right="0" w:hanging="720"/>
              <w:jc w:val="right"/>
              <w:rPr/>
            </w:pPr>
            <w:r>
              <w:rPr/>
              <w:t>166</w:t>
            </w:r>
          </w:p>
        </w:tc>
      </w:tr>
      <w:tr>
        <w:trPr/>
        <w:tc>
          <w:tcPr>
            <w:tcW w:w="8630" w:type="dxa"/>
            <w:tcBorders/>
            <w:vAlign w:val="center"/>
          </w:tcPr>
          <w:p>
            <w:pPr>
              <w:pStyle w:val="TableContents"/>
              <w:bidi w:val="0"/>
              <w:spacing w:before="0" w:after="283"/>
              <w:jc w:val="left"/>
              <w:rPr/>
            </w:pPr>
            <w:r>
              <w:rPr/>
              <w:t>Section 9.24   Responsible Officers and Authorized Officers.</w:t>
            </w:r>
          </w:p>
        </w:tc>
        <w:tc>
          <w:tcPr>
            <w:tcW w:w="395" w:type="dxa"/>
            <w:tcBorders/>
            <w:vAlign w:val="center"/>
          </w:tcPr>
          <w:p>
            <w:pPr>
              <w:pStyle w:val="TableContents"/>
              <w:bidi w:val="0"/>
              <w:spacing w:before="0" w:after="283"/>
              <w:ind w:left="0" w:right="0" w:hanging="720"/>
              <w:jc w:val="right"/>
              <w:rPr/>
            </w:pPr>
            <w:r>
              <w:rPr/>
              <w:t>167</w:t>
            </w:r>
          </w:p>
        </w:tc>
      </w:tr>
      <w:tr>
        <w:trPr/>
        <w:tc>
          <w:tcPr>
            <w:tcW w:w="8630" w:type="dxa"/>
            <w:tcBorders/>
            <w:vAlign w:val="center"/>
          </w:tcPr>
          <w:p>
            <w:pPr>
              <w:pStyle w:val="TableContents"/>
              <w:bidi w:val="0"/>
              <w:spacing w:before="0" w:after="283"/>
              <w:jc w:val="left"/>
              <w:rPr/>
            </w:pPr>
            <w:r>
              <w:rPr/>
              <w:t>Section 9.25   Acknowledgement and Consent to Bail-In of Affected Financial Institutions.</w:t>
            </w:r>
          </w:p>
        </w:tc>
        <w:tc>
          <w:tcPr>
            <w:tcW w:w="395" w:type="dxa"/>
            <w:tcBorders/>
            <w:vAlign w:val="center"/>
          </w:tcPr>
          <w:p>
            <w:pPr>
              <w:pStyle w:val="TableContents"/>
              <w:bidi w:val="0"/>
              <w:spacing w:before="0" w:after="283"/>
              <w:ind w:left="0" w:right="0" w:hanging="720"/>
              <w:jc w:val="right"/>
              <w:rPr/>
            </w:pPr>
            <w:r>
              <w:rPr/>
              <w:t>167</w:t>
            </w:r>
          </w:p>
        </w:tc>
      </w:tr>
      <w:tr>
        <w:trPr/>
        <w:tc>
          <w:tcPr>
            <w:tcW w:w="8630" w:type="dxa"/>
            <w:tcBorders/>
            <w:vAlign w:val="center"/>
          </w:tcPr>
          <w:p>
            <w:pPr>
              <w:pStyle w:val="TableContents"/>
              <w:bidi w:val="0"/>
              <w:spacing w:before="0" w:after="283"/>
              <w:jc w:val="left"/>
              <w:rPr/>
            </w:pPr>
            <w:r>
              <w:rPr/>
              <w:t>Section 9.26   Certain ERISA Matters</w:t>
            </w:r>
          </w:p>
        </w:tc>
        <w:tc>
          <w:tcPr>
            <w:tcW w:w="395" w:type="dxa"/>
            <w:tcBorders/>
            <w:vAlign w:val="center"/>
          </w:tcPr>
          <w:p>
            <w:pPr>
              <w:pStyle w:val="TableContents"/>
              <w:bidi w:val="0"/>
              <w:spacing w:before="0" w:after="283"/>
              <w:ind w:left="0" w:right="0" w:hanging="720"/>
              <w:jc w:val="right"/>
              <w:rPr/>
            </w:pPr>
            <w:r>
              <w:rPr/>
              <w:t>168</w:t>
            </w:r>
          </w:p>
        </w:tc>
      </w:tr>
      <w:tr>
        <w:trPr/>
        <w:tc>
          <w:tcPr>
            <w:tcW w:w="8630" w:type="dxa"/>
            <w:tcBorders/>
            <w:vAlign w:val="center"/>
          </w:tcPr>
          <w:p>
            <w:pPr>
              <w:pStyle w:val="TableContents"/>
              <w:bidi w:val="0"/>
              <w:spacing w:before="0" w:after="283"/>
              <w:jc w:val="left"/>
              <w:rPr/>
            </w:pPr>
            <w:r>
              <w:rPr/>
              <w:t>Section 9.27   Acknowledgement Regarding Any Supported QFCs.</w:t>
            </w:r>
          </w:p>
        </w:tc>
        <w:tc>
          <w:tcPr>
            <w:tcW w:w="395" w:type="dxa"/>
            <w:tcBorders/>
            <w:vAlign w:val="center"/>
          </w:tcPr>
          <w:p>
            <w:pPr>
              <w:pStyle w:val="TableContents"/>
              <w:bidi w:val="0"/>
              <w:spacing w:before="0" w:after="283"/>
              <w:ind w:left="0" w:right="0" w:hanging="720"/>
              <w:jc w:val="right"/>
              <w:rPr/>
            </w:pPr>
            <w:r>
              <w:rPr/>
              <w:t>169</w:t>
            </w:r>
          </w:p>
        </w:tc>
      </w:tr>
      <w:tr>
        <w:trPr/>
        <w:tc>
          <w:tcPr>
            <w:tcW w:w="8630" w:type="dxa"/>
            <w:tcBorders/>
            <w:vAlign w:val="center"/>
          </w:tcPr>
          <w:p>
            <w:pPr>
              <w:pStyle w:val="TableContents"/>
              <w:bidi w:val="0"/>
              <w:spacing w:before="0" w:after="283"/>
              <w:jc w:val="left"/>
              <w:rPr/>
            </w:pPr>
            <w:r>
              <w:rPr/>
              <w:t>Section 9.28   Interest Rate Limitation.</w:t>
            </w:r>
          </w:p>
        </w:tc>
        <w:tc>
          <w:tcPr>
            <w:tcW w:w="395" w:type="dxa"/>
            <w:tcBorders/>
            <w:vAlign w:val="center"/>
          </w:tcPr>
          <w:p>
            <w:pPr>
              <w:pStyle w:val="TableContents"/>
              <w:bidi w:val="0"/>
              <w:spacing w:before="0" w:after="283"/>
              <w:ind w:left="0" w:right="0" w:hanging="1728"/>
              <w:jc w:val="right"/>
              <w:rPr/>
            </w:pPr>
            <w:r>
              <w:rPr/>
              <w:t>169</w:t>
            </w:r>
          </w:p>
        </w:tc>
      </w:tr>
      <w:tr>
        <w:trPr/>
        <w:tc>
          <w:tcPr>
            <w:tcW w:w="8630" w:type="dxa"/>
            <w:tcBorders/>
            <w:vAlign w:val="center"/>
          </w:tcPr>
          <w:p>
            <w:pPr>
              <w:pStyle w:val="TableContents"/>
              <w:bidi w:val="0"/>
              <w:spacing w:before="0" w:after="283"/>
              <w:jc w:val="left"/>
              <w:rPr/>
            </w:pPr>
            <w:r>
              <w:rPr/>
              <w:t>Article X GUARANTY</w:t>
            </w:r>
          </w:p>
        </w:tc>
        <w:tc>
          <w:tcPr>
            <w:tcW w:w="395" w:type="dxa"/>
            <w:tcBorders/>
            <w:vAlign w:val="center"/>
          </w:tcPr>
          <w:p>
            <w:pPr>
              <w:pStyle w:val="TableContents"/>
              <w:bidi w:val="0"/>
              <w:spacing w:before="0" w:after="283"/>
              <w:ind w:left="0" w:right="0" w:hanging="720"/>
              <w:jc w:val="right"/>
              <w:rPr/>
            </w:pPr>
            <w:r>
              <w:rPr/>
              <w:t>170</w:t>
            </w:r>
          </w:p>
        </w:tc>
      </w:tr>
      <w:tr>
        <w:trPr/>
        <w:tc>
          <w:tcPr>
            <w:tcW w:w="8630" w:type="dxa"/>
            <w:tcBorders/>
            <w:vAlign w:val="center"/>
          </w:tcPr>
          <w:p>
            <w:pPr>
              <w:pStyle w:val="TableContents"/>
              <w:bidi w:val="0"/>
              <w:spacing w:before="0" w:after="283"/>
              <w:jc w:val="left"/>
              <w:rPr/>
            </w:pPr>
            <w:r>
              <w:rPr/>
              <w:t>Section 10.1   The Guaranty.</w:t>
            </w:r>
          </w:p>
        </w:tc>
        <w:tc>
          <w:tcPr>
            <w:tcW w:w="395" w:type="dxa"/>
            <w:tcBorders/>
            <w:vAlign w:val="center"/>
          </w:tcPr>
          <w:p>
            <w:pPr>
              <w:pStyle w:val="TableContents"/>
              <w:bidi w:val="0"/>
              <w:spacing w:before="0" w:after="283"/>
              <w:ind w:left="0" w:right="0" w:hanging="720"/>
              <w:jc w:val="right"/>
              <w:rPr/>
            </w:pPr>
            <w:r>
              <w:rPr/>
              <w:t>170</w:t>
            </w:r>
          </w:p>
        </w:tc>
      </w:tr>
      <w:tr>
        <w:trPr/>
        <w:tc>
          <w:tcPr>
            <w:tcW w:w="8630" w:type="dxa"/>
            <w:tcBorders/>
            <w:vAlign w:val="center"/>
          </w:tcPr>
          <w:p>
            <w:pPr>
              <w:pStyle w:val="TableContents"/>
              <w:bidi w:val="0"/>
              <w:spacing w:before="0" w:after="283"/>
              <w:jc w:val="left"/>
              <w:rPr/>
            </w:pPr>
            <w:r>
              <w:rPr/>
              <w:t>Section 10.2   Bankruptcy.</w:t>
            </w:r>
          </w:p>
        </w:tc>
        <w:tc>
          <w:tcPr>
            <w:tcW w:w="395" w:type="dxa"/>
            <w:tcBorders/>
            <w:vAlign w:val="center"/>
          </w:tcPr>
          <w:p>
            <w:pPr>
              <w:pStyle w:val="TableContents"/>
              <w:bidi w:val="0"/>
              <w:spacing w:before="0" w:after="283"/>
              <w:ind w:left="0" w:right="0" w:hanging="720"/>
              <w:jc w:val="right"/>
              <w:rPr/>
            </w:pPr>
            <w:r>
              <w:rPr/>
              <w:t>170</w:t>
            </w:r>
          </w:p>
        </w:tc>
      </w:tr>
      <w:tr>
        <w:trPr/>
        <w:tc>
          <w:tcPr>
            <w:tcW w:w="8630" w:type="dxa"/>
            <w:tcBorders/>
            <w:vAlign w:val="center"/>
          </w:tcPr>
          <w:p>
            <w:pPr>
              <w:pStyle w:val="TableContents"/>
              <w:bidi w:val="0"/>
              <w:spacing w:before="0" w:after="283"/>
              <w:jc w:val="left"/>
              <w:rPr/>
            </w:pPr>
            <w:r>
              <w:rPr/>
              <w:t>Section 10.3   Nature of Liability.</w:t>
            </w:r>
          </w:p>
        </w:tc>
        <w:tc>
          <w:tcPr>
            <w:tcW w:w="395" w:type="dxa"/>
            <w:tcBorders/>
            <w:vAlign w:val="center"/>
          </w:tcPr>
          <w:p>
            <w:pPr>
              <w:pStyle w:val="TableContents"/>
              <w:bidi w:val="0"/>
              <w:spacing w:before="0" w:after="283"/>
              <w:ind w:left="0" w:right="0" w:hanging="720"/>
              <w:jc w:val="right"/>
              <w:rPr/>
            </w:pPr>
            <w:r>
              <w:rPr/>
              <w:t>171</w:t>
            </w:r>
          </w:p>
        </w:tc>
      </w:tr>
      <w:tr>
        <w:trPr/>
        <w:tc>
          <w:tcPr>
            <w:tcW w:w="8630" w:type="dxa"/>
            <w:tcBorders/>
            <w:vAlign w:val="center"/>
          </w:tcPr>
          <w:p>
            <w:pPr>
              <w:pStyle w:val="TableContents"/>
              <w:bidi w:val="0"/>
              <w:spacing w:before="0" w:after="283"/>
              <w:jc w:val="left"/>
              <w:rPr/>
            </w:pPr>
            <w:r>
              <w:rPr/>
              <w:t>Section 10.4   Independent Obligation.</w:t>
            </w:r>
          </w:p>
        </w:tc>
        <w:tc>
          <w:tcPr>
            <w:tcW w:w="395" w:type="dxa"/>
            <w:tcBorders/>
            <w:vAlign w:val="center"/>
          </w:tcPr>
          <w:p>
            <w:pPr>
              <w:pStyle w:val="TableContents"/>
              <w:bidi w:val="0"/>
              <w:spacing w:before="0" w:after="283"/>
              <w:ind w:left="0" w:right="0" w:hanging="720"/>
              <w:jc w:val="right"/>
              <w:rPr/>
            </w:pPr>
            <w:r>
              <w:rPr/>
              <w:t>171</w:t>
            </w:r>
          </w:p>
        </w:tc>
      </w:tr>
      <w:tr>
        <w:trPr/>
        <w:tc>
          <w:tcPr>
            <w:tcW w:w="8630" w:type="dxa"/>
            <w:tcBorders/>
            <w:vAlign w:val="center"/>
          </w:tcPr>
          <w:p>
            <w:pPr>
              <w:pStyle w:val="TableContents"/>
              <w:bidi w:val="0"/>
              <w:spacing w:before="0" w:after="283"/>
              <w:jc w:val="left"/>
              <w:rPr/>
            </w:pPr>
            <w:r>
              <w:rPr/>
              <w:t>Section 10.5   Authorization.</w:t>
            </w:r>
          </w:p>
        </w:tc>
        <w:tc>
          <w:tcPr>
            <w:tcW w:w="395" w:type="dxa"/>
            <w:tcBorders/>
            <w:vAlign w:val="center"/>
          </w:tcPr>
          <w:p>
            <w:pPr>
              <w:pStyle w:val="TableContents"/>
              <w:bidi w:val="0"/>
              <w:spacing w:before="0" w:after="283"/>
              <w:ind w:left="0" w:right="0" w:hanging="720"/>
              <w:jc w:val="right"/>
              <w:rPr/>
            </w:pPr>
            <w:r>
              <w:rPr/>
              <w:t>171</w:t>
            </w:r>
          </w:p>
        </w:tc>
      </w:tr>
      <w:tr>
        <w:trPr/>
        <w:tc>
          <w:tcPr>
            <w:tcW w:w="8630" w:type="dxa"/>
            <w:tcBorders/>
            <w:vAlign w:val="center"/>
          </w:tcPr>
          <w:p>
            <w:pPr>
              <w:pStyle w:val="TableContents"/>
              <w:bidi w:val="0"/>
              <w:spacing w:before="0" w:after="283"/>
              <w:jc w:val="left"/>
              <w:rPr/>
            </w:pPr>
            <w:r>
              <w:rPr/>
              <w:t>Section 10.6   Reliance.</w:t>
            </w:r>
          </w:p>
        </w:tc>
        <w:tc>
          <w:tcPr>
            <w:tcW w:w="395" w:type="dxa"/>
            <w:tcBorders/>
            <w:vAlign w:val="center"/>
          </w:tcPr>
          <w:p>
            <w:pPr>
              <w:pStyle w:val="TableContents"/>
              <w:bidi w:val="0"/>
              <w:spacing w:before="0" w:after="283"/>
              <w:ind w:left="0" w:right="0" w:hanging="720"/>
              <w:jc w:val="right"/>
              <w:rPr/>
            </w:pPr>
            <w:r>
              <w:rPr/>
              <w:t>171</w:t>
            </w:r>
          </w:p>
        </w:tc>
      </w:tr>
      <w:tr>
        <w:trPr/>
        <w:tc>
          <w:tcPr>
            <w:tcW w:w="8630" w:type="dxa"/>
            <w:tcBorders/>
            <w:vAlign w:val="center"/>
          </w:tcPr>
          <w:p>
            <w:pPr>
              <w:pStyle w:val="TableContents"/>
              <w:bidi w:val="0"/>
              <w:spacing w:before="0" w:after="283"/>
              <w:jc w:val="left"/>
              <w:rPr/>
            </w:pPr>
            <w:r>
              <w:rPr/>
              <w:t>Section 10.7   Waiver.</w:t>
            </w:r>
          </w:p>
        </w:tc>
        <w:tc>
          <w:tcPr>
            <w:tcW w:w="395" w:type="dxa"/>
            <w:tcBorders/>
            <w:vAlign w:val="center"/>
          </w:tcPr>
          <w:p>
            <w:pPr>
              <w:pStyle w:val="TableContents"/>
              <w:bidi w:val="0"/>
              <w:spacing w:before="0" w:after="283"/>
              <w:ind w:left="0" w:right="0" w:hanging="720"/>
              <w:jc w:val="right"/>
              <w:rPr/>
            </w:pPr>
            <w:r>
              <w:rPr/>
              <w:t>171</w:t>
            </w:r>
          </w:p>
        </w:tc>
      </w:tr>
      <w:tr>
        <w:trPr/>
        <w:tc>
          <w:tcPr>
            <w:tcW w:w="8630" w:type="dxa"/>
            <w:tcBorders/>
            <w:vAlign w:val="center"/>
          </w:tcPr>
          <w:p>
            <w:pPr>
              <w:pStyle w:val="TableContents"/>
              <w:bidi w:val="0"/>
              <w:spacing w:before="0" w:after="283"/>
              <w:jc w:val="left"/>
              <w:rPr/>
            </w:pPr>
            <w:r>
              <w:rPr/>
              <w:t>Section 10.8   Limitation on Enforcement.</w:t>
            </w:r>
          </w:p>
        </w:tc>
        <w:tc>
          <w:tcPr>
            <w:tcW w:w="395" w:type="dxa"/>
            <w:tcBorders/>
            <w:vAlign w:val="center"/>
          </w:tcPr>
          <w:p>
            <w:pPr>
              <w:pStyle w:val="TableContents"/>
              <w:bidi w:val="0"/>
              <w:spacing w:before="0" w:after="283"/>
              <w:ind w:left="0" w:right="0" w:hanging="720"/>
              <w:jc w:val="right"/>
              <w:rPr/>
            </w:pPr>
            <w:r>
              <w:rPr/>
              <w:t>172</w:t>
            </w:r>
          </w:p>
        </w:tc>
      </w:tr>
      <w:tr>
        <w:trPr/>
        <w:tc>
          <w:tcPr>
            <w:tcW w:w="8630" w:type="dxa"/>
            <w:tcBorders/>
            <w:vAlign w:val="center"/>
          </w:tcPr>
          <w:p>
            <w:pPr>
              <w:pStyle w:val="TableContents"/>
              <w:bidi w:val="0"/>
              <w:spacing w:before="0" w:after="283"/>
              <w:jc w:val="left"/>
              <w:rPr/>
            </w:pPr>
            <w:r>
              <w:rPr/>
              <w:t>Section 10.9   Confirmation of Payment.</w:t>
            </w:r>
          </w:p>
        </w:tc>
        <w:tc>
          <w:tcPr>
            <w:tcW w:w="395" w:type="dxa"/>
            <w:tcBorders/>
            <w:vAlign w:val="center"/>
          </w:tcPr>
          <w:p>
            <w:pPr>
              <w:pStyle w:val="TableContents"/>
              <w:bidi w:val="0"/>
              <w:spacing w:before="0" w:after="283"/>
              <w:ind w:left="0" w:right="0" w:hanging="720"/>
              <w:jc w:val="right"/>
              <w:rPr/>
            </w:pPr>
            <w:r>
              <w:rPr/>
              <w:t>173</w:t>
            </w:r>
          </w:p>
        </w:tc>
      </w:tr>
      <w:tr>
        <w:trPr/>
        <w:tc>
          <w:tcPr>
            <w:tcW w:w="8630" w:type="dxa"/>
            <w:tcBorders/>
            <w:vAlign w:val="center"/>
          </w:tcPr>
          <w:p>
            <w:pPr>
              <w:pStyle w:val="TableContents"/>
              <w:bidi w:val="0"/>
              <w:spacing w:before="0" w:after="283"/>
              <w:jc w:val="left"/>
              <w:rPr/>
            </w:pPr>
            <w:r>
              <w:rPr/>
              <w:t>Section 10.10   Eligible Contract Participant.</w:t>
            </w:r>
          </w:p>
        </w:tc>
        <w:tc>
          <w:tcPr>
            <w:tcW w:w="395" w:type="dxa"/>
            <w:tcBorders/>
            <w:vAlign w:val="center"/>
          </w:tcPr>
          <w:p>
            <w:pPr>
              <w:pStyle w:val="TableContents"/>
              <w:bidi w:val="0"/>
              <w:spacing w:before="0" w:after="283"/>
              <w:ind w:left="0" w:right="0" w:hanging="720"/>
              <w:jc w:val="right"/>
              <w:rPr/>
            </w:pPr>
            <w:r>
              <w:rPr/>
              <w:t>173</w:t>
            </w:r>
          </w:p>
        </w:tc>
      </w:tr>
      <w:tr>
        <w:trPr/>
        <w:tc>
          <w:tcPr>
            <w:tcW w:w="8630" w:type="dxa"/>
            <w:tcBorders/>
            <w:vAlign w:val="center"/>
          </w:tcPr>
          <w:p>
            <w:pPr>
              <w:pStyle w:val="TableContents"/>
              <w:bidi w:val="0"/>
              <w:spacing w:before="0" w:after="283"/>
              <w:jc w:val="left"/>
              <w:rPr/>
            </w:pPr>
            <w:r>
              <w:rPr/>
              <w:t>Section 10.11   Keepwell.</w:t>
            </w:r>
          </w:p>
        </w:tc>
        <w:tc>
          <w:tcPr>
            <w:tcW w:w="395" w:type="dxa"/>
            <w:tcBorders/>
            <w:vAlign w:val="center"/>
          </w:tcPr>
          <w:p>
            <w:pPr>
              <w:pStyle w:val="TableContents"/>
              <w:bidi w:val="0"/>
              <w:spacing w:before="0" w:after="283"/>
              <w:jc w:val="right"/>
              <w:rPr/>
            </w:pPr>
            <w:r>
              <w:rPr/>
              <w:t>173</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iv </w:t>
      </w:r>
    </w:p>
    <w:p>
      <w:pPr>
        <w:pStyle w:val="TextBody"/>
        <w:bidi w:val="0"/>
        <w:spacing w:before="0" w:after="0"/>
        <w:ind w:left="0" w:right="0" w:hanging="0"/>
        <w:jc w:val="left"/>
        <w:rPr/>
      </w:pPr>
      <w:r>
        <w:rPr/>
        <w:t> </w:t>
      </w:r>
    </w:p>
    <w:tbl>
      <w:tblPr>
        <w:tblW w:w="10030" w:type="dxa"/>
        <w:jc w:val="left"/>
        <w:tblInd w:w="0" w:type="dxa"/>
        <w:tblLayout w:type="fixed"/>
        <w:tblCellMar>
          <w:top w:w="0" w:type="dxa"/>
          <w:left w:w="0" w:type="dxa"/>
          <w:bottom w:w="0" w:type="dxa"/>
          <w:right w:w="0" w:type="dxa"/>
        </w:tblCellMar>
      </w:tblPr>
      <w:tblGrid>
        <w:gridCol w:w="1655"/>
        <w:gridCol w:w="8375"/>
      </w:tblGrid>
      <w:tr>
        <w:trPr/>
        <w:tc>
          <w:tcPr>
            <w:tcW w:w="1655" w:type="dxa"/>
            <w:tcBorders/>
            <w:vAlign w:val="center"/>
          </w:tcPr>
          <w:p>
            <w:pPr>
              <w:pStyle w:val="TableContents"/>
              <w:bidi w:val="0"/>
              <w:spacing w:before="0" w:after="283"/>
              <w:jc w:val="left"/>
              <w:rPr>
                <w:b/>
                <w:u w:val="single"/>
              </w:rPr>
            </w:pPr>
            <w:r>
              <w:rPr>
                <w:b/>
                <w:u w:val="single"/>
              </w:rPr>
              <w:t>Schedules</w:t>
            </w:r>
          </w:p>
        </w:tc>
        <w:tc>
          <w:tcPr>
            <w:tcW w:w="83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Schedule 1.1(a)</w:t>
            </w:r>
          </w:p>
        </w:tc>
        <w:tc>
          <w:tcPr>
            <w:tcW w:w="8375" w:type="dxa"/>
            <w:tcBorders/>
            <w:vAlign w:val="center"/>
          </w:tcPr>
          <w:p>
            <w:pPr>
              <w:pStyle w:val="TableContents"/>
              <w:bidi w:val="0"/>
              <w:spacing w:before="0" w:after="283"/>
              <w:jc w:val="left"/>
              <w:rPr/>
            </w:pPr>
            <w:r>
              <w:rPr/>
              <w:t>Investments</w:t>
            </w:r>
          </w:p>
        </w:tc>
      </w:tr>
      <w:tr>
        <w:trPr/>
        <w:tc>
          <w:tcPr>
            <w:tcW w:w="16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1.1(b)</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1.1(c) </w:t>
            </w:r>
          </w:p>
        </w:tc>
        <w:tc>
          <w:tcPr>
            <w:tcW w:w="83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Target Indebtedness </w:t>
            </w:r>
          </w:p>
        </w:tc>
      </w:tr>
      <w:tr>
        <w:trPr/>
        <w:tc>
          <w:tcPr>
            <w:tcW w:w="1655" w:type="dxa"/>
            <w:tcBorders/>
            <w:vAlign w:val="center"/>
          </w:tcPr>
          <w:p>
            <w:pPr>
              <w:pStyle w:val="TableContents"/>
              <w:bidi w:val="0"/>
              <w:spacing w:before="0" w:after="283"/>
              <w:jc w:val="left"/>
              <w:rPr/>
            </w:pPr>
            <w:r>
              <w:rPr/>
              <w:t>Schedule 2.1(a)</w:t>
            </w:r>
          </w:p>
        </w:tc>
        <w:tc>
          <w:tcPr>
            <w:tcW w:w="8375" w:type="dxa"/>
            <w:tcBorders/>
            <w:vAlign w:val="center"/>
          </w:tcPr>
          <w:p>
            <w:pPr>
              <w:pStyle w:val="TableContents"/>
              <w:bidi w:val="0"/>
              <w:spacing w:before="0" w:after="283"/>
              <w:jc w:val="left"/>
              <w:rPr/>
            </w:pPr>
            <w:r>
              <w:rPr/>
              <w:t>Lenders and Commitments</w:t>
            </w:r>
          </w:p>
        </w:tc>
      </w:tr>
      <w:tr>
        <w:trPr/>
        <w:tc>
          <w:tcPr>
            <w:tcW w:w="1655" w:type="dxa"/>
            <w:tcBorders/>
            <w:vAlign w:val="center"/>
          </w:tcPr>
          <w:p>
            <w:pPr>
              <w:pStyle w:val="TableContents"/>
              <w:bidi w:val="0"/>
              <w:spacing w:before="0" w:after="283"/>
              <w:jc w:val="left"/>
              <w:rPr/>
            </w:pPr>
            <w:r>
              <w:rPr/>
              <w:t>Schedule 3.3</w:t>
            </w:r>
          </w:p>
        </w:tc>
        <w:tc>
          <w:tcPr>
            <w:tcW w:w="8375" w:type="dxa"/>
            <w:tcBorders/>
            <w:vAlign w:val="center"/>
          </w:tcPr>
          <w:p>
            <w:pPr>
              <w:pStyle w:val="TableContents"/>
              <w:bidi w:val="0"/>
              <w:spacing w:before="0" w:after="283"/>
              <w:jc w:val="left"/>
              <w:rPr/>
            </w:pPr>
            <w:r>
              <w:rPr/>
              <w:t>Patriot Act Information</w:t>
            </w:r>
          </w:p>
        </w:tc>
      </w:tr>
      <w:tr>
        <w:trPr/>
        <w:tc>
          <w:tcPr>
            <w:tcW w:w="1655" w:type="dxa"/>
            <w:tcBorders/>
            <w:vAlign w:val="center"/>
          </w:tcPr>
          <w:p>
            <w:pPr>
              <w:pStyle w:val="TableContents"/>
              <w:bidi w:val="0"/>
              <w:spacing w:before="0" w:after="283"/>
              <w:jc w:val="left"/>
              <w:rPr/>
            </w:pPr>
            <w:r>
              <w:rPr/>
              <w:t>Schedule 3.6</w:t>
            </w:r>
          </w:p>
        </w:tc>
        <w:tc>
          <w:tcPr>
            <w:tcW w:w="8375" w:type="dxa"/>
            <w:tcBorders/>
            <w:vAlign w:val="center"/>
          </w:tcPr>
          <w:p>
            <w:pPr>
              <w:pStyle w:val="TableContents"/>
              <w:bidi w:val="0"/>
              <w:spacing w:before="0" w:after="283"/>
              <w:jc w:val="left"/>
              <w:rPr/>
            </w:pPr>
            <w:r>
              <w:rPr/>
              <w:t>Litigation</w:t>
            </w:r>
          </w:p>
        </w:tc>
      </w:tr>
      <w:tr>
        <w:trPr/>
        <w:tc>
          <w:tcPr>
            <w:tcW w:w="1655" w:type="dxa"/>
            <w:tcBorders/>
            <w:vAlign w:val="center"/>
          </w:tcPr>
          <w:p>
            <w:pPr>
              <w:pStyle w:val="TableContents"/>
              <w:bidi w:val="0"/>
              <w:spacing w:before="0" w:after="283"/>
              <w:jc w:val="left"/>
              <w:rPr/>
            </w:pPr>
            <w:r>
              <w:rPr/>
              <w:t>Schedule 3.12</w:t>
            </w:r>
          </w:p>
        </w:tc>
        <w:tc>
          <w:tcPr>
            <w:tcW w:w="8375" w:type="dxa"/>
            <w:tcBorders/>
            <w:vAlign w:val="center"/>
          </w:tcPr>
          <w:p>
            <w:pPr>
              <w:pStyle w:val="TableContents"/>
              <w:bidi w:val="0"/>
              <w:spacing w:before="0" w:after="283"/>
              <w:jc w:val="left"/>
              <w:rPr/>
            </w:pPr>
            <w:r>
              <w:rPr/>
              <w:t>Subsidiaries</w:t>
            </w:r>
          </w:p>
        </w:tc>
      </w:tr>
      <w:tr>
        <w:trPr/>
        <w:tc>
          <w:tcPr>
            <w:tcW w:w="1655" w:type="dxa"/>
            <w:tcBorders/>
            <w:vAlign w:val="center"/>
          </w:tcPr>
          <w:p>
            <w:pPr>
              <w:pStyle w:val="TableContents"/>
              <w:bidi w:val="0"/>
              <w:spacing w:before="0" w:after="283"/>
              <w:jc w:val="left"/>
              <w:rPr/>
            </w:pPr>
            <w:r>
              <w:rPr/>
              <w:t>Schedule 3.16(a)</w:t>
            </w:r>
          </w:p>
        </w:tc>
        <w:tc>
          <w:tcPr>
            <w:tcW w:w="8375" w:type="dxa"/>
            <w:tcBorders/>
            <w:vAlign w:val="center"/>
          </w:tcPr>
          <w:p>
            <w:pPr>
              <w:pStyle w:val="TableContents"/>
              <w:bidi w:val="0"/>
              <w:spacing w:before="0" w:after="283"/>
              <w:jc w:val="left"/>
              <w:rPr/>
            </w:pPr>
            <w:r>
              <w:rPr/>
              <w:t>Intellectual Property</w:t>
            </w:r>
          </w:p>
        </w:tc>
      </w:tr>
      <w:tr>
        <w:trPr/>
        <w:tc>
          <w:tcPr>
            <w:tcW w:w="1655" w:type="dxa"/>
            <w:tcBorders/>
            <w:vAlign w:val="center"/>
          </w:tcPr>
          <w:p>
            <w:pPr>
              <w:pStyle w:val="TableContents"/>
              <w:bidi w:val="0"/>
              <w:spacing w:before="0" w:after="283"/>
              <w:jc w:val="left"/>
              <w:rPr/>
            </w:pPr>
            <w:r>
              <w:rPr/>
              <w:t>Schedule 3.16(b)</w:t>
            </w:r>
          </w:p>
        </w:tc>
        <w:tc>
          <w:tcPr>
            <w:tcW w:w="8375" w:type="dxa"/>
            <w:tcBorders/>
            <w:vAlign w:val="center"/>
          </w:tcPr>
          <w:p>
            <w:pPr>
              <w:pStyle w:val="TableContents"/>
              <w:bidi w:val="0"/>
              <w:spacing w:before="0" w:after="283"/>
              <w:jc w:val="left"/>
              <w:rPr/>
            </w:pPr>
            <w:r>
              <w:rPr/>
              <w:t>Pledged Debt</w:t>
            </w:r>
          </w:p>
        </w:tc>
      </w:tr>
      <w:tr>
        <w:trPr/>
        <w:tc>
          <w:tcPr>
            <w:tcW w:w="1655" w:type="dxa"/>
            <w:tcBorders/>
            <w:vAlign w:val="center"/>
          </w:tcPr>
          <w:p>
            <w:pPr>
              <w:pStyle w:val="TableContents"/>
              <w:bidi w:val="0"/>
              <w:spacing w:before="0" w:after="283"/>
              <w:jc w:val="left"/>
              <w:rPr/>
            </w:pPr>
            <w:r>
              <w:rPr/>
              <w:t>Schedule 3.16(c)</w:t>
            </w:r>
          </w:p>
        </w:tc>
        <w:tc>
          <w:tcPr>
            <w:tcW w:w="8375" w:type="dxa"/>
            <w:tcBorders/>
            <w:vAlign w:val="center"/>
          </w:tcPr>
          <w:p>
            <w:pPr>
              <w:pStyle w:val="TableContents"/>
              <w:bidi w:val="0"/>
              <w:spacing w:before="0" w:after="283"/>
              <w:jc w:val="left"/>
              <w:rPr/>
            </w:pPr>
            <w:r>
              <w:rPr/>
              <w:t>Electronic Chattel Paper, Letter-of-Credit Rights and Uncertificated Investment Property</w:t>
            </w:r>
          </w:p>
        </w:tc>
      </w:tr>
      <w:tr>
        <w:trPr/>
        <w:tc>
          <w:tcPr>
            <w:tcW w:w="1655" w:type="dxa"/>
            <w:tcBorders/>
            <w:vAlign w:val="center"/>
          </w:tcPr>
          <w:p>
            <w:pPr>
              <w:pStyle w:val="TableContents"/>
              <w:bidi w:val="0"/>
              <w:spacing w:before="0" w:after="283"/>
              <w:jc w:val="left"/>
              <w:rPr/>
            </w:pPr>
            <w:r>
              <w:rPr/>
              <w:t>Schedule 3.16(d)</w:t>
            </w:r>
          </w:p>
        </w:tc>
        <w:tc>
          <w:tcPr>
            <w:tcW w:w="8375" w:type="dxa"/>
            <w:tcBorders/>
            <w:vAlign w:val="center"/>
          </w:tcPr>
          <w:p>
            <w:pPr>
              <w:pStyle w:val="TableContents"/>
              <w:bidi w:val="0"/>
              <w:spacing w:before="0" w:after="283"/>
              <w:jc w:val="left"/>
              <w:rPr/>
            </w:pPr>
            <w:r>
              <w:rPr/>
              <w:t>Commercial Tort Claims</w:t>
            </w:r>
          </w:p>
        </w:tc>
      </w:tr>
      <w:tr>
        <w:trPr/>
        <w:tc>
          <w:tcPr>
            <w:tcW w:w="1655" w:type="dxa"/>
            <w:tcBorders/>
            <w:vAlign w:val="center"/>
          </w:tcPr>
          <w:p>
            <w:pPr>
              <w:pStyle w:val="TableContents"/>
              <w:bidi w:val="0"/>
              <w:spacing w:before="0" w:after="283"/>
              <w:jc w:val="left"/>
              <w:rPr/>
            </w:pPr>
            <w:r>
              <w:rPr/>
              <w:t>Schedule 3.16(e)</w:t>
            </w:r>
          </w:p>
        </w:tc>
        <w:tc>
          <w:tcPr>
            <w:tcW w:w="8375" w:type="dxa"/>
            <w:tcBorders/>
            <w:vAlign w:val="center"/>
          </w:tcPr>
          <w:p>
            <w:pPr>
              <w:pStyle w:val="TableContents"/>
              <w:bidi w:val="0"/>
              <w:spacing w:before="0" w:after="283"/>
              <w:jc w:val="left"/>
              <w:rPr/>
            </w:pPr>
            <w:r>
              <w:rPr/>
              <w:t>Pledged Equity Interests</w:t>
            </w:r>
          </w:p>
        </w:tc>
      </w:tr>
      <w:tr>
        <w:trPr/>
        <w:tc>
          <w:tcPr>
            <w:tcW w:w="1655" w:type="dxa"/>
            <w:tcBorders/>
            <w:vAlign w:val="center"/>
          </w:tcPr>
          <w:p>
            <w:pPr>
              <w:pStyle w:val="TableContents"/>
              <w:bidi w:val="0"/>
              <w:spacing w:before="0" w:after="283"/>
              <w:jc w:val="left"/>
              <w:rPr/>
            </w:pPr>
            <w:r>
              <w:rPr/>
              <w:t>Schedule 5.15</w:t>
            </w:r>
          </w:p>
        </w:tc>
        <w:tc>
          <w:tcPr>
            <w:tcW w:w="8375" w:type="dxa"/>
            <w:tcBorders/>
            <w:vAlign w:val="center"/>
          </w:tcPr>
          <w:p>
            <w:pPr>
              <w:pStyle w:val="TableContents"/>
              <w:bidi w:val="0"/>
              <w:spacing w:before="0" w:after="283"/>
              <w:jc w:val="left"/>
              <w:rPr/>
            </w:pPr>
            <w:r>
              <w:rPr/>
              <w:t>Post-Closing Matters</w:t>
            </w:r>
          </w:p>
        </w:tc>
      </w:tr>
      <w:tr>
        <w:trPr/>
        <w:tc>
          <w:tcPr>
            <w:tcW w:w="1655" w:type="dxa"/>
            <w:tcBorders/>
            <w:vAlign w:val="center"/>
          </w:tcPr>
          <w:p>
            <w:pPr>
              <w:pStyle w:val="TableContents"/>
              <w:bidi w:val="0"/>
              <w:spacing w:before="0" w:after="283"/>
              <w:jc w:val="left"/>
              <w:rPr/>
            </w:pPr>
            <w:r>
              <w:rPr/>
              <w:t>Schedule 6.1(b)</w:t>
            </w:r>
          </w:p>
        </w:tc>
        <w:tc>
          <w:tcPr>
            <w:tcW w:w="8375" w:type="dxa"/>
            <w:tcBorders/>
            <w:vAlign w:val="center"/>
          </w:tcPr>
          <w:p>
            <w:pPr>
              <w:pStyle w:val="TableContents"/>
              <w:bidi w:val="0"/>
              <w:spacing w:before="0" w:after="283"/>
              <w:jc w:val="left"/>
              <w:rPr/>
            </w:pPr>
            <w:r>
              <w:rPr/>
              <w:t>Indebtedness</w:t>
            </w:r>
          </w:p>
        </w:tc>
      </w:tr>
      <w:tr>
        <w:trPr/>
        <w:tc>
          <w:tcPr>
            <w:tcW w:w="165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w:t>
            </w:r>
          </w:p>
        </w:tc>
        <w:tc>
          <w:tcPr>
            <w:tcW w:w="83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Exhibit 1.1(a)</w:t>
            </w:r>
          </w:p>
        </w:tc>
        <w:tc>
          <w:tcPr>
            <w:tcW w:w="8375" w:type="dxa"/>
            <w:tcBorders/>
            <w:vAlign w:val="center"/>
          </w:tcPr>
          <w:p>
            <w:pPr>
              <w:pStyle w:val="TableContents"/>
              <w:bidi w:val="0"/>
              <w:spacing w:before="0" w:after="283"/>
              <w:jc w:val="left"/>
              <w:rPr/>
            </w:pPr>
            <w:r>
              <w:rPr/>
              <w:t xml:space="preserve">Form of Assignment and Assumption </w:t>
            </w:r>
          </w:p>
        </w:tc>
      </w:tr>
      <w:tr>
        <w:trPr/>
        <w:tc>
          <w:tcPr>
            <w:tcW w:w="1655" w:type="dxa"/>
            <w:tcBorders/>
            <w:vAlign w:val="center"/>
          </w:tcPr>
          <w:p>
            <w:pPr>
              <w:pStyle w:val="TableContents"/>
              <w:bidi w:val="0"/>
              <w:spacing w:before="0" w:after="283"/>
              <w:jc w:val="left"/>
              <w:rPr/>
            </w:pPr>
            <w:r>
              <w:rPr/>
              <w:t>Exhibit 1.1(b)</w:t>
            </w:r>
          </w:p>
        </w:tc>
        <w:tc>
          <w:tcPr>
            <w:tcW w:w="8375" w:type="dxa"/>
            <w:tcBorders/>
            <w:vAlign w:val="center"/>
          </w:tcPr>
          <w:p>
            <w:pPr>
              <w:pStyle w:val="TableContents"/>
              <w:bidi w:val="0"/>
              <w:spacing w:before="0" w:after="283"/>
              <w:jc w:val="left"/>
              <w:rPr/>
            </w:pPr>
            <w:r>
              <w:rPr/>
              <w:t>Form of Perfection Certificate</w:t>
            </w:r>
          </w:p>
        </w:tc>
      </w:tr>
      <w:tr>
        <w:trPr/>
        <w:tc>
          <w:tcPr>
            <w:tcW w:w="1655" w:type="dxa"/>
            <w:tcBorders/>
            <w:vAlign w:val="center"/>
          </w:tcPr>
          <w:p>
            <w:pPr>
              <w:pStyle w:val="TableContents"/>
              <w:bidi w:val="0"/>
              <w:spacing w:before="0" w:after="283"/>
              <w:jc w:val="left"/>
              <w:rPr/>
            </w:pPr>
            <w:r>
              <w:rPr/>
              <w:t>Exhibit 1.1(c)</w:t>
            </w:r>
          </w:p>
        </w:tc>
        <w:tc>
          <w:tcPr>
            <w:tcW w:w="8375" w:type="dxa"/>
            <w:tcBorders/>
            <w:vAlign w:val="center"/>
          </w:tcPr>
          <w:p>
            <w:pPr>
              <w:pStyle w:val="TableContents"/>
              <w:bidi w:val="0"/>
              <w:spacing w:before="0" w:after="283"/>
              <w:jc w:val="left"/>
              <w:rPr/>
            </w:pPr>
            <w:r>
              <w:rPr/>
              <w:t>Form of Joinder Agreement</w:t>
            </w:r>
          </w:p>
        </w:tc>
      </w:tr>
      <w:tr>
        <w:trPr/>
        <w:tc>
          <w:tcPr>
            <w:tcW w:w="1655" w:type="dxa"/>
            <w:tcBorders/>
            <w:vAlign w:val="center"/>
          </w:tcPr>
          <w:p>
            <w:pPr>
              <w:pStyle w:val="TableContents"/>
              <w:bidi w:val="0"/>
              <w:spacing w:before="0" w:after="283"/>
              <w:jc w:val="left"/>
              <w:rPr/>
            </w:pPr>
            <w:r>
              <w:rPr/>
              <w:t>Exhibit 2.1(e)</w:t>
            </w:r>
          </w:p>
        </w:tc>
        <w:tc>
          <w:tcPr>
            <w:tcW w:w="8375" w:type="dxa"/>
            <w:tcBorders/>
            <w:vAlign w:val="center"/>
          </w:tcPr>
          <w:p>
            <w:pPr>
              <w:pStyle w:val="TableContents"/>
              <w:bidi w:val="0"/>
              <w:spacing w:before="0" w:after="283"/>
              <w:jc w:val="left"/>
              <w:rPr/>
            </w:pPr>
            <w:r>
              <w:rPr/>
              <w:t>Form of Revolving Loan Note</w:t>
            </w:r>
          </w:p>
        </w:tc>
      </w:tr>
      <w:tr>
        <w:trPr/>
        <w:tc>
          <w:tcPr>
            <w:tcW w:w="1655" w:type="dxa"/>
            <w:tcBorders/>
            <w:vAlign w:val="center"/>
          </w:tcPr>
          <w:p>
            <w:pPr>
              <w:pStyle w:val="TableContents"/>
              <w:bidi w:val="0"/>
              <w:spacing w:before="0" w:after="283"/>
              <w:jc w:val="left"/>
              <w:rPr/>
            </w:pPr>
            <w:r>
              <w:rPr/>
              <w:t>Exhibit 2.2(c)</w:t>
            </w:r>
          </w:p>
        </w:tc>
        <w:tc>
          <w:tcPr>
            <w:tcW w:w="8375" w:type="dxa"/>
            <w:tcBorders/>
            <w:vAlign w:val="center"/>
          </w:tcPr>
          <w:p>
            <w:pPr>
              <w:pStyle w:val="TableContents"/>
              <w:bidi w:val="0"/>
              <w:spacing w:before="0" w:after="283"/>
              <w:jc w:val="left"/>
              <w:rPr/>
            </w:pPr>
            <w:r>
              <w:rPr/>
              <w:t>Form of Initial Term Loan Note</w:t>
            </w:r>
          </w:p>
        </w:tc>
      </w:tr>
      <w:tr>
        <w:trPr/>
        <w:tc>
          <w:tcPr>
            <w:tcW w:w="1655" w:type="dxa"/>
            <w:tcBorders/>
            <w:vAlign w:val="center"/>
          </w:tcPr>
          <w:p>
            <w:pPr>
              <w:pStyle w:val="TableContents"/>
              <w:bidi w:val="0"/>
              <w:spacing w:before="0" w:after="283"/>
              <w:jc w:val="left"/>
              <w:rPr/>
            </w:pPr>
            <w:r>
              <w:rPr/>
              <w:t>Exhibit 2.4(d)</w:t>
            </w:r>
          </w:p>
        </w:tc>
        <w:tc>
          <w:tcPr>
            <w:tcW w:w="8375" w:type="dxa"/>
            <w:tcBorders/>
            <w:vAlign w:val="center"/>
          </w:tcPr>
          <w:p>
            <w:pPr>
              <w:pStyle w:val="TableContents"/>
              <w:bidi w:val="0"/>
              <w:spacing w:before="0" w:after="283"/>
              <w:jc w:val="left"/>
              <w:rPr/>
            </w:pPr>
            <w:r>
              <w:rPr/>
              <w:t>Form of Swingline Loan Note</w:t>
            </w:r>
          </w:p>
        </w:tc>
      </w:tr>
      <w:tr>
        <w:trPr/>
        <w:tc>
          <w:tcPr>
            <w:tcW w:w="1655" w:type="dxa"/>
            <w:tcBorders/>
            <w:vAlign w:val="center"/>
          </w:tcPr>
          <w:p>
            <w:pPr>
              <w:pStyle w:val="TableContents"/>
              <w:bidi w:val="0"/>
              <w:spacing w:before="0" w:after="283"/>
              <w:jc w:val="left"/>
              <w:rPr/>
            </w:pPr>
            <w:r>
              <w:rPr/>
              <w:t>Exhibit 2.16(a)</w:t>
            </w:r>
          </w:p>
        </w:tc>
        <w:tc>
          <w:tcPr>
            <w:tcW w:w="8375" w:type="dxa"/>
            <w:tcBorders/>
            <w:vAlign w:val="center"/>
          </w:tcPr>
          <w:p>
            <w:pPr>
              <w:pStyle w:val="TableContents"/>
              <w:bidi w:val="0"/>
              <w:spacing w:before="0" w:after="283"/>
              <w:jc w:val="left"/>
              <w:rPr/>
            </w:pPr>
            <w:r>
              <w:rPr/>
              <w:t>Form of U.S. Tax Compliance Certificate</w:t>
            </w:r>
          </w:p>
        </w:tc>
      </w:tr>
      <w:tr>
        <w:trPr/>
        <w:tc>
          <w:tcPr>
            <w:tcW w:w="1655" w:type="dxa"/>
            <w:tcBorders/>
            <w:vAlign w:val="center"/>
          </w:tcPr>
          <w:p>
            <w:pPr>
              <w:pStyle w:val="TableContents"/>
              <w:bidi w:val="0"/>
              <w:spacing w:before="0" w:after="283"/>
              <w:jc w:val="left"/>
              <w:rPr/>
            </w:pPr>
            <w:r>
              <w:rPr/>
              <w:t>Exhibit 2.16(b)</w:t>
            </w:r>
          </w:p>
        </w:tc>
        <w:tc>
          <w:tcPr>
            <w:tcW w:w="8375" w:type="dxa"/>
            <w:tcBorders/>
            <w:vAlign w:val="center"/>
          </w:tcPr>
          <w:p>
            <w:pPr>
              <w:pStyle w:val="TableContents"/>
              <w:bidi w:val="0"/>
              <w:spacing w:before="0" w:after="283"/>
              <w:jc w:val="left"/>
              <w:rPr/>
            </w:pPr>
            <w:r>
              <w:rPr/>
              <w:t>Form of U.S. Tax Compliance Certificate</w:t>
            </w:r>
          </w:p>
        </w:tc>
      </w:tr>
      <w:tr>
        <w:trPr/>
        <w:tc>
          <w:tcPr>
            <w:tcW w:w="1655" w:type="dxa"/>
            <w:tcBorders/>
            <w:vAlign w:val="center"/>
          </w:tcPr>
          <w:p>
            <w:pPr>
              <w:pStyle w:val="TableContents"/>
              <w:bidi w:val="0"/>
              <w:spacing w:before="0" w:after="283"/>
              <w:jc w:val="left"/>
              <w:rPr/>
            </w:pPr>
            <w:r>
              <w:rPr/>
              <w:t>Exhibit 2.16(c)</w:t>
            </w:r>
          </w:p>
        </w:tc>
        <w:tc>
          <w:tcPr>
            <w:tcW w:w="8375" w:type="dxa"/>
            <w:tcBorders/>
            <w:vAlign w:val="center"/>
          </w:tcPr>
          <w:p>
            <w:pPr>
              <w:pStyle w:val="TableContents"/>
              <w:bidi w:val="0"/>
              <w:spacing w:before="0" w:after="283"/>
              <w:jc w:val="left"/>
              <w:rPr/>
            </w:pPr>
            <w:r>
              <w:rPr/>
              <w:t>Form of U.S. Tax Compliance Certificate</w:t>
            </w:r>
          </w:p>
        </w:tc>
      </w:tr>
      <w:tr>
        <w:trPr/>
        <w:tc>
          <w:tcPr>
            <w:tcW w:w="1655" w:type="dxa"/>
            <w:tcBorders/>
            <w:vAlign w:val="center"/>
          </w:tcPr>
          <w:p>
            <w:pPr>
              <w:pStyle w:val="TableContents"/>
              <w:bidi w:val="0"/>
              <w:spacing w:before="0" w:after="283"/>
              <w:jc w:val="left"/>
              <w:rPr/>
            </w:pPr>
            <w:r>
              <w:rPr/>
              <w:t>Exhibit 2.16(d)</w:t>
            </w:r>
          </w:p>
        </w:tc>
        <w:tc>
          <w:tcPr>
            <w:tcW w:w="8375" w:type="dxa"/>
            <w:tcBorders/>
            <w:vAlign w:val="center"/>
          </w:tcPr>
          <w:p>
            <w:pPr>
              <w:pStyle w:val="TableContents"/>
              <w:bidi w:val="0"/>
              <w:spacing w:before="0" w:after="283"/>
              <w:jc w:val="left"/>
              <w:rPr/>
            </w:pPr>
            <w:r>
              <w:rPr/>
              <w:t>Form of U.S. Tax Compliance Certificate</w:t>
            </w:r>
          </w:p>
        </w:tc>
      </w:tr>
      <w:tr>
        <w:trPr/>
        <w:tc>
          <w:tcPr>
            <w:tcW w:w="1655" w:type="dxa"/>
            <w:tcBorders/>
            <w:vAlign w:val="center"/>
          </w:tcPr>
          <w:p>
            <w:pPr>
              <w:pStyle w:val="TableContents"/>
              <w:bidi w:val="0"/>
              <w:spacing w:before="0" w:after="283"/>
              <w:jc w:val="left"/>
              <w:rPr/>
            </w:pPr>
            <w:r>
              <w:rPr/>
              <w:t>Exhibit 4.1(b)</w:t>
            </w:r>
          </w:p>
        </w:tc>
        <w:tc>
          <w:tcPr>
            <w:tcW w:w="8375" w:type="dxa"/>
            <w:tcBorders/>
            <w:vAlign w:val="center"/>
          </w:tcPr>
          <w:p>
            <w:pPr>
              <w:pStyle w:val="TableContents"/>
              <w:bidi w:val="0"/>
              <w:spacing w:before="0" w:after="283"/>
              <w:jc w:val="left"/>
              <w:rPr/>
            </w:pPr>
            <w:r>
              <w:rPr/>
              <w:t>Form of Officer’s Certificate</w:t>
            </w:r>
          </w:p>
        </w:tc>
      </w:tr>
      <w:tr>
        <w:trPr/>
        <w:tc>
          <w:tcPr>
            <w:tcW w:w="1655" w:type="dxa"/>
            <w:tcBorders/>
            <w:vAlign w:val="center"/>
          </w:tcPr>
          <w:p>
            <w:pPr>
              <w:pStyle w:val="TableContents"/>
              <w:bidi w:val="0"/>
              <w:spacing w:before="0" w:after="283"/>
              <w:jc w:val="left"/>
              <w:rPr/>
            </w:pPr>
            <w:r>
              <w:rPr/>
              <w:t>Exhibit 4.1(g)</w:t>
            </w:r>
          </w:p>
        </w:tc>
        <w:tc>
          <w:tcPr>
            <w:tcW w:w="8375" w:type="dxa"/>
            <w:tcBorders/>
            <w:vAlign w:val="center"/>
          </w:tcPr>
          <w:p>
            <w:pPr>
              <w:pStyle w:val="TableContents"/>
              <w:bidi w:val="0"/>
              <w:spacing w:before="0" w:after="283"/>
              <w:jc w:val="left"/>
              <w:rPr/>
            </w:pPr>
            <w:r>
              <w:rPr/>
              <w:t>Form of Solvency Certificate</w:t>
            </w:r>
          </w:p>
        </w:tc>
      </w:tr>
      <w:tr>
        <w:trPr/>
        <w:tc>
          <w:tcPr>
            <w:tcW w:w="1655" w:type="dxa"/>
            <w:tcBorders/>
            <w:vAlign w:val="center"/>
          </w:tcPr>
          <w:p>
            <w:pPr>
              <w:pStyle w:val="TableContents"/>
              <w:bidi w:val="0"/>
              <w:spacing w:before="0" w:after="283"/>
              <w:jc w:val="left"/>
              <w:rPr/>
            </w:pPr>
            <w:r>
              <w:rPr/>
              <w:t>Exhibit 4.1(l)</w:t>
            </w:r>
          </w:p>
        </w:tc>
        <w:tc>
          <w:tcPr>
            <w:tcW w:w="8375" w:type="dxa"/>
            <w:tcBorders/>
            <w:vAlign w:val="center"/>
          </w:tcPr>
          <w:p>
            <w:pPr>
              <w:pStyle w:val="TableContents"/>
              <w:bidi w:val="0"/>
              <w:spacing w:before="0" w:after="283"/>
              <w:jc w:val="left"/>
              <w:rPr/>
            </w:pPr>
            <w:r>
              <w:rPr/>
              <w:t>Form of Closing Certificate</w:t>
            </w:r>
          </w:p>
        </w:tc>
      </w:tr>
      <w:tr>
        <w:trPr/>
        <w:tc>
          <w:tcPr>
            <w:tcW w:w="1655" w:type="dxa"/>
            <w:tcBorders/>
            <w:vAlign w:val="center"/>
          </w:tcPr>
          <w:p>
            <w:pPr>
              <w:pStyle w:val="TableContents"/>
              <w:bidi w:val="0"/>
              <w:spacing w:before="0" w:after="283"/>
              <w:jc w:val="left"/>
              <w:rPr/>
            </w:pPr>
            <w:r>
              <w:rPr/>
              <w:t>Exhibit 5.2(a)</w:t>
            </w:r>
          </w:p>
        </w:tc>
        <w:tc>
          <w:tcPr>
            <w:tcW w:w="8375" w:type="dxa"/>
            <w:tcBorders/>
            <w:vAlign w:val="center"/>
          </w:tcPr>
          <w:p>
            <w:pPr>
              <w:pStyle w:val="TableContents"/>
              <w:bidi w:val="0"/>
              <w:spacing w:before="0" w:after="283"/>
              <w:jc w:val="left"/>
              <w:rPr/>
            </w:pPr>
            <w:r>
              <w:rPr/>
              <w:t>Form of Compliance Certificate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v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xml:space="preserve">, dated as of August 13, 2024, by and among </w:t>
      </w:r>
      <w:r>
        <w:rPr>
          <w:rFonts w:ascii="Times New Roman;Times;Serif" w:hAnsi="Times New Roman;Times;Serif"/>
          <w:b/>
          <w:i w:val="false"/>
          <w:caps/>
          <w:sz w:val="20"/>
        </w:rPr>
        <w:t>ANI PHARMACEUTICALS,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val="false"/>
          <w:i w:val="false"/>
          <w:caps w:val="false"/>
          <w:smallCaps w:val="false"/>
          <w:sz w:val="20"/>
          <w:u w:val="single"/>
        </w:rPr>
        <w:t>Lead Borrower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ANIP ACQUISITION COMPANY</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val="false"/>
          <w:i w:val="false"/>
          <w:caps w:val="false"/>
          <w:smallCaps w:val="false"/>
          <w:sz w:val="20"/>
          <w:u w:val="single"/>
        </w:rPr>
        <w:t>Initial Subsidiary Borrower</w:t>
      </w:r>
      <w:r>
        <w:rPr>
          <w:rFonts w:ascii="Times New Roman;Times;Serif" w:hAnsi="Times New Roman;Times;Serif"/>
          <w:b w:val="false"/>
          <w:i w:val="false"/>
          <w:caps w:val="false"/>
          <w:smallCaps w:val="false"/>
          <w:sz w:val="20"/>
        </w:rPr>
        <w:t xml:space="preserve">”), the Additional Subsidiary Borrowers (as hereinafter defined), the Guarantors (as hereinafter defined), the Lenders (as hereinafter defined), and </w:t>
      </w:r>
      <w:r>
        <w:rPr>
          <w:rFonts w:ascii="Times New Roman;Times;Serif" w:hAnsi="Times New Roman;Times;Serif"/>
          <w:b/>
          <w:i w:val="false"/>
          <w:caps w:val="false"/>
          <w:smallCaps w:val="false"/>
          <w:sz w:val="20"/>
        </w:rPr>
        <w:t>JPMORGAN CHASE BANK, N.A.</w:t>
      </w:r>
      <w:r>
        <w:rPr>
          <w:rFonts w:ascii="Times New Roman;Times;Serif" w:hAnsi="Times New Roman;Times;Serif"/>
          <w:b w:val="false"/>
          <w:i w:val="false"/>
          <w:caps w:val="false"/>
          <w:smallCaps w:val="false"/>
          <w:sz w:val="20"/>
        </w:rPr>
        <w:t>, as administrative agent for the Lenders hereunder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W I T N E S S E T H</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Lead Borrower is party to that certain Credit Agreement, dated as of November 19, 2021 (as amended, supplemented or otherwise modified prior to the Closing Date,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by and among the Lead Borrower, the guarantors party thereto, the lenders party thereto and Truist Bank, as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Closing Date, the Lead Borrower will repay all amounts outstanding under the Existing Credit Agreement, terminate in full the commitments thereunder and obtain a release of all security interests granted in connection therewith (the “</w:t>
      </w:r>
      <w:r>
        <w:rPr>
          <w:rFonts w:ascii="Times New Roman;Times;Serif" w:hAnsi="Times New Roman;Times;Serif"/>
          <w:b w:val="false"/>
          <w:i w:val="false"/>
          <w:caps w:val="false"/>
          <w:smallCaps w:val="false"/>
          <w:sz w:val="20"/>
          <w:u w:val="single"/>
        </w:rPr>
        <w:t>Closing Date Refinancing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Acquisition Agreement, on the Acquisition Closing Date, the Lead Borrower will acquire (the “</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Alimera Sciences,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its subsidiaries pursuant to a merger by a wholly-owned Subsidiary of the Initial Subsidiary Borrower with and into the Company, with the Company surviving the merger as a Subsidiary of the Initial Subsidiary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Acquisition Closing Date, the Company will repay in full all amounts outstanding under that certain Loan and Security Agreement, dated as of December 31, 2019, by and among the Company, SLR Investment Corp. (f/k/a Solar Capital Ltd.), as collateral agent, and the lenders party thereto and obtain a release of all security interests granted in connection therewith (the “</w:t>
      </w:r>
      <w:r>
        <w:rPr>
          <w:rFonts w:ascii="Times New Roman;Times;Serif" w:hAnsi="Times New Roman;Times;Serif"/>
          <w:b w:val="false"/>
          <w:i w:val="false"/>
          <w:caps w:val="false"/>
          <w:smallCaps w:val="false"/>
          <w:sz w:val="20"/>
          <w:u w:val="single"/>
        </w:rPr>
        <w:t>Company Refinancing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to consummate the Transactions, the Borrowers have requested that, subject to the satisfaction (or waiver) of the conditions precedent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below, (a) the Revolving Lenders provide the Revolving Facility on the Closing Date with commitments in an aggregate principal amount equal to $75.0 million and (b) the Term Loan Lenders commit to extend Term Loans on the Acquisition Closing Date in an aggregate principal amount equal to $325.0 million, with the funding of such Term Loans to be subject solely to the satisfaction (or waiver) of the conditions precedent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below;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Lenders have agreed to make such loans and other financial accommodations to the Borrowers on the terms and conditions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are hereby acknowledged by the parties hereto, such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4"/>
        </w:rPr>
        <w:t>Article I</w:t>
      </w:r>
      <w:r>
        <w:rPr>
          <w:rFonts w:ascii="Times New Roman;Times;Serif" w:hAnsi="Times New Roman;Times;Serif"/>
          <w:b/>
          <w:i w:val="false"/>
          <w:caps/>
          <w:sz w:val="20"/>
        </w:rPr>
        <w:br/>
        <w:br/>
        <w:t>DEFINITIONS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1.1</w:t>
        <w:tab/>
      </w:r>
      <w:r>
        <w:rPr>
          <w:rFonts w:ascii="Times New Roman;Times;Serif" w:hAnsi="Times New Roman;Times;Serif"/>
          <w:b/>
          <w:i w:val="false"/>
          <w:caps w:val="false"/>
          <w:smallCaps w:val="false"/>
          <w:sz w:val="20"/>
        </w:rPr>
        <w:t>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terms defined in the preamble to this Agreement have the meanings therein indicated, and the following terms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bear interest at a rate determined by reference to the Alternate Base Rate.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Agreement</w:t>
      </w:r>
      <w:r>
        <w:rPr>
          <w:rFonts w:ascii="Times New Roman;Times;Serif" w:hAnsi="Times New Roman;Times;Serif"/>
          <w:b w:val="false"/>
          <w:i w:val="false"/>
          <w:caps w:val="false"/>
          <w:smallCaps w:val="false"/>
          <w:sz w:val="20"/>
        </w:rPr>
        <w:t>” shall mean that certain Agreement and Plan of Merger, dated as of June 21, 2024, by and among, the Lead Borrower, ANIP Merger Sub INC. and the Company, together with all exhibits and disclosure schedules thereto, as the same may be amended,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Closing Date</w:t>
      </w:r>
      <w:r>
        <w:rPr>
          <w:rFonts w:ascii="Times New Roman;Times;Serif" w:hAnsi="Times New Roman;Times;Serif"/>
          <w:b w:val="false"/>
          <w:i w:val="false"/>
          <w:caps w:val="false"/>
          <w:smallCaps w:val="false"/>
          <w:sz w:val="20"/>
        </w:rPr>
        <w:t>” shall mean the date of consummation of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Outside Date</w:t>
      </w:r>
      <w:r>
        <w:rPr>
          <w:rFonts w:ascii="Times New Roman;Times;Serif" w:hAnsi="Times New Roman;Times;Serif"/>
          <w:b w:val="false"/>
          <w:i w:val="false"/>
          <w:caps w:val="false"/>
          <w:smallCaps w:val="false"/>
          <w:sz w:val="20"/>
        </w:rPr>
        <w:t>” shall mean the earlier of (i) 11:59 p.m., New York City time, on the fifth Business Day after December 21, 2024 if the Acquisition Closing Date has not occurred by such time and (ii) the date of the valid termination of the Acquisition Agreement in accordance with its terms prior to the consummation of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Credit Party</w:t>
      </w:r>
      <w:r>
        <w:rPr>
          <w:rFonts w:ascii="Times New Roman;Times;Serif" w:hAnsi="Times New Roman;Times;Serif"/>
          <w:b w:val="false"/>
          <w:i w:val="false"/>
          <w:caps w:val="false"/>
          <w:smallCaps w:val="false"/>
          <w:sz w:val="20"/>
        </w:rPr>
        <w:t xml:space="preserve">” shall mean (i) each Person that becomes an Additional Subsidiary Borrower by execution of an Additional Subsidiary Borrower Joinder Agreement and (ii) each Person that becomes a Guarantor by execution of a Joinder Agreement in accordance with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Lender</w:t>
      </w:r>
      <w:r>
        <w:rPr>
          <w:rFonts w:ascii="Times New Roman;Times;Serif" w:hAnsi="Times New Roman;Times;Serif"/>
          <w:b w:val="false"/>
          <w:i w:val="false"/>
          <w:caps w:val="false"/>
          <w:smallCaps w:val="false"/>
          <w:sz w:val="20"/>
        </w:rPr>
        <w:t>” shall mean any Additional Revolving Lender or any Additional Term Lender,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Revolving Lender</w:t>
      </w:r>
      <w:r>
        <w:rPr>
          <w:rFonts w:ascii="Times New Roman;Times;Serif" w:hAnsi="Times New Roman;Times;Serif"/>
          <w:b w:val="false"/>
          <w:i w:val="false"/>
          <w:caps w:val="false"/>
          <w:smallCaps w:val="false"/>
          <w:sz w:val="20"/>
        </w:rPr>
        <w:t xml:space="preserve">” shall mean, at any time, any bank or other financial institution (other than any such bank or financial institution that is a Lender at such time) selected by the Lead Borrower that agrees to provide any portion of any (a) Revolving Facility Increase pursuant to an Incremental Facility Amendment in accordance with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or (b) Credit Agreement Refinancing Indebtedness pursuant to a Refinancing Amendment in accordance with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Additional Revolving Lender (other than any Person that is a Lender, an Affiliate of a Lender or an Approved Fund of a Lender at such time) shall be subject to the approval of the Administrative Agent, each Issuing Lender and Swingline Lender (in each case, such approval not to be unreasonably withheld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Subsidiary Borrower</w:t>
      </w:r>
      <w:r>
        <w:rPr>
          <w:rFonts w:ascii="Times New Roman;Times;Serif" w:hAnsi="Times New Roman;Times;Serif"/>
          <w:b w:val="false"/>
          <w:i w:val="false"/>
          <w:caps w:val="false"/>
          <w:smallCaps w:val="false"/>
          <w:sz w:val="20"/>
        </w:rPr>
        <w:t xml:space="preserve">” shall mean any Restricted Subsidiary that is a Wholly Owned Subsidiary and Domestic Subsidiary of the Lead Borrower that is designated by the Lead Borrower in a notice to the Administrative Agent for distribution to the Lenders as an “Additional Subsidiary Borrower” for purposes of this Agreement and the other Credit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Lead Borrower provides such notice at least twenty (20) Business Days (or such shorter period as may be reasonably agreed by the Administrative Agent) prior to the date such Restricted Subsidiary becomes an Additional Subsidiary Borrower and has provided to the Administrative Agent and the Lenders at least three (3) Business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date such Restricted Subsidiary becomes an Additional Subsidiary Borrower all information as may be requested by the Administrative Agent and the Lenders to comply with any applicable Anti-Terrorism Law or other “know-your-customer” requirements and (ii) the Lead Borrower, the Administrative Agent and such Restricted Subsidiary shall have entered into a joinder to this Agreement (an “</w:t>
      </w:r>
      <w:r>
        <w:rPr>
          <w:rFonts w:ascii="Times New Roman;Times;Serif" w:hAnsi="Times New Roman;Times;Serif"/>
          <w:b w:val="false"/>
          <w:i w:val="false"/>
          <w:caps w:val="false"/>
          <w:smallCaps w:val="false"/>
          <w:sz w:val="20"/>
          <w:u w:val="single"/>
        </w:rPr>
        <w:t>Additional Subsidiary Borrower Joinder Agreement</w:t>
      </w:r>
      <w:r>
        <w:rPr>
          <w:rFonts w:ascii="Times New Roman;Times;Serif" w:hAnsi="Times New Roman;Times;Serif"/>
          <w:b w:val="false"/>
          <w:i w:val="false"/>
          <w:caps w:val="false"/>
          <w:smallCaps w:val="false"/>
          <w:sz w:val="20"/>
        </w:rPr>
        <w:t>”), in form reasonably satisfactory to the Administrative Agent and the Lead Borrower, providing that such Restricted Subsidiary shall have all rights and obligations of an Additional Subsidiary Borrower under this Agreement and the other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Subsidiary Borrower Joinder Agreement</w:t>
      </w:r>
      <w:r>
        <w:rPr>
          <w:rFonts w:ascii="Times New Roman;Times;Serif" w:hAnsi="Times New Roman;Times;Serif"/>
          <w:b w:val="false"/>
          <w:i w:val="false"/>
          <w:caps w:val="false"/>
          <w:smallCaps w:val="false"/>
          <w:sz w:val="20"/>
        </w:rPr>
        <w:t>” has the meaning set forth in the definition of “Additional Subsidiary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Term Lender</w:t>
      </w:r>
      <w:r>
        <w:rPr>
          <w:rFonts w:ascii="Times New Roman;Times;Serif" w:hAnsi="Times New Roman;Times;Serif"/>
          <w:b w:val="false"/>
          <w:i w:val="false"/>
          <w:caps w:val="false"/>
          <w:smallCaps w:val="false"/>
          <w:sz w:val="20"/>
        </w:rPr>
        <w:t xml:space="preserve">” shall mean, at any time, any bank, other financial institution or institutional lender (other than any such bank, financial institution or institutional lender that is a Lender at such time) selected by the Lead Borrower that agrees to provide any portion of any (a) Incremental Term Facility pursuant to an Incremental Facility Amendment in accordance with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or (b) Credit Agreement Refinancing Indebtedness pursuant to a Refinancing Amendment in accordance with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Daily Simple SOFR</w:t>
      </w:r>
      <w:r>
        <w:rPr>
          <w:rFonts w:ascii="Times New Roman;Times;Serif" w:hAnsi="Times New Roman;Times;Serif"/>
          <w:b w:val="false"/>
          <w:i w:val="false"/>
          <w:caps w:val="false"/>
          <w:smallCaps w:val="false"/>
          <w:sz w:val="20"/>
        </w:rPr>
        <w:t xml:space="preserve">” shall mean an interest rate per annum equal to (a) the Daily Simple SOFR,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0.10%;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Adjusted Daily Simple SOFR for the applicable Loans as so determined shall not be less than the Floor.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Term SOFR Rate</w:t>
      </w:r>
      <w:r>
        <w:rPr>
          <w:rFonts w:ascii="Times New Roman;Times;Serif" w:hAnsi="Times New Roman;Times;Serif"/>
          <w:b w:val="false"/>
          <w:i w:val="false"/>
          <w:caps w:val="false"/>
          <w:smallCaps w:val="false"/>
          <w:sz w:val="20"/>
        </w:rPr>
        <w:t xml:space="preserve">” shall mean, for purposes of any calculation, the rate per annum equal to (a) the Term SOFR Rate for such calculation plus (b) 0.10%;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Adjusted Term SOFR Rate for the applicable Loans as so determined shall not be less than the Floor.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shall have the meaning set forth in the first paragraph of this Agreement and shall include any permitted successors in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shall mean an Administrative Questionnaire in a form supplied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shall mean (a) any EEA Financial Institution or (b) any UK Financial Institution</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mean this Agreement, as amended, modified, extended, restated, replaced, or supplemented from time to time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xml:space="preserve">” shall mean, for any day, a rate per annum equal to the greatest of (a) the Prime Rate in effect on such day, (b) the NYFRB Rate in effect on such day plus ½ of 1%, and (c) the Adjusted Term SOFR Rate for a one month Interest Period as published two (2) U.S. Government Securities Business Days prior to such day (or if such day is not a U.S. Government Securities Business Day, the immediately preceding U.S. Government Securities Business Day) plus 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(for the avoidance of doubt, only until the Benchmark Replacement has been determined pursuant to </w:t>
      </w:r>
      <w:r>
        <w:rPr>
          <w:rFonts w:ascii="Times New Roman;Times;Serif" w:hAnsi="Times New Roman;Times;Serif"/>
          <w:b w:val="false"/>
          <w:i w:val="false"/>
          <w:caps w:val="false"/>
          <w:smallCaps w:val="false"/>
          <w:sz w:val="20"/>
          <w:u w:val="single"/>
        </w:rPr>
        <w:t>Section 2.13(b)</w:t>
      </w:r>
      <w:r>
        <w:rPr>
          <w:rFonts w:ascii="Times New Roman;Times;Serif" w:hAnsi="Times New Roman;Times;Serif"/>
          <w:b w:val="false"/>
          <w:i w:val="false"/>
          <w:caps w:val="false"/>
          <w:smallCaps w:val="false"/>
          <w:sz w:val="20"/>
        </w:rPr>
        <w:t>), then the Alternate Base Rate shall be the greater of clauses (a) and (b) above and shall be determined without reference to clause (c) above. For the avoidance of doubt, if the Alternate Base Rate as determined pursuant to the foregoing would be less than 1.00% per annum, such rate shall be deemed to be 1.00% per annum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Anti-Terrorism Law</w:t>
      </w:r>
      <w:r>
        <w:rPr>
          <w:rFonts w:ascii="Times New Roman;Times;Serif" w:hAnsi="Times New Roman;Times;Serif"/>
          <w:b w:val="false"/>
          <w:i w:val="false"/>
          <w:caps w:val="false"/>
          <w:smallCaps w:val="false"/>
          <w:sz w:val="20"/>
        </w:rPr>
        <w:t>” shall mean any Requirement of Law related to money laundering or financing terrorism, including, without limitation, (a) the Patriot Act, (b) The Currency and Foreign Transactions Reporting Act (also known as the “Bank Secrecy Act”, 31 U.S.C. §§ 5311-5330 and 12 U.S.C. §§ 1818(s), 1820(b) and 1951-1959), (c) the Trading With the Enemy Act (50 U.S.C. § 1 et seq., as amended) and (d) Executive Order 13224 (effective September 24, 2001).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Margin</w:t>
      </w:r>
      <w:r>
        <w:rPr>
          <w:rFonts w:ascii="Times New Roman;Times;Serif" w:hAnsi="Times New Roman;Times;Serif"/>
          <w:b w:val="false"/>
          <w:i w:val="false"/>
          <w:caps w:val="false"/>
          <w:smallCaps w:val="false"/>
          <w:sz w:val="20"/>
        </w:rPr>
        <w:t>” shall mean, for any day, (i) initially, 1.75% in the case of ABR Loans, 2.75% in the case of Term Benchmark Loans and RFR Loans and 0.35% with respect to Commitment Fees and (ii) from and after the first adjustment date determined in accordance with the paragraph immediately following the table below, the applicable margin determined in accordance with the provisions set forth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635"/>
        <w:gridCol w:w="2242"/>
        <w:gridCol w:w="1488"/>
        <w:gridCol w:w="2194"/>
        <w:gridCol w:w="3646"/>
      </w:tblGrid>
      <w:tr>
        <w:trPr/>
        <w:tc>
          <w:tcPr>
            <w:tcW w:w="6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w:t>
            </w:r>
          </w:p>
        </w:tc>
        <w:tc>
          <w:tcPr>
            <w:tcW w:w="224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Lien Net Leverage Ratio</w:t>
            </w:r>
          </w:p>
        </w:tc>
        <w:tc>
          <w:tcPr>
            <w:tcW w:w="148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 Fees</w:t>
            </w:r>
          </w:p>
        </w:tc>
        <w:tc>
          <w:tcPr>
            <w:tcW w:w="219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Margin for ABR Loans</w:t>
            </w:r>
          </w:p>
        </w:tc>
        <w:tc>
          <w:tcPr>
            <w:tcW w:w="364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Margin for Term Benchmark Loans and RFR Loans</w:t>
            </w:r>
          </w:p>
        </w:tc>
      </w:tr>
      <w:tr>
        <w:trPr/>
        <w:tc>
          <w:tcPr>
            <w:tcW w:w="6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center"/>
              <w:rPr/>
            </w:pPr>
            <w:r>
              <w:rPr/>
              <w:t>I</w:t>
            </w:r>
          </w:p>
        </w:tc>
        <w:tc>
          <w:tcPr>
            <w:tcW w:w="2242"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&gt; 2.00 to 1.00</w:t>
            </w:r>
          </w:p>
        </w:tc>
        <w:tc>
          <w:tcPr>
            <w:tcW w:w="148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0.40%</w:t>
            </w:r>
          </w:p>
        </w:tc>
        <w:tc>
          <w:tcPr>
            <w:tcW w:w="2194"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2.00%</w:t>
            </w:r>
          </w:p>
        </w:tc>
        <w:tc>
          <w:tcPr>
            <w:tcW w:w="3646"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3.00%</w:t>
            </w:r>
          </w:p>
        </w:tc>
      </w:tr>
      <w:tr>
        <w:trPr/>
        <w:tc>
          <w:tcPr>
            <w:tcW w:w="6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center"/>
              <w:rPr/>
            </w:pPr>
            <w:r>
              <w:rPr/>
              <w:t>II</w:t>
            </w:r>
          </w:p>
        </w:tc>
        <w:tc>
          <w:tcPr>
            <w:tcW w:w="2242"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 xml:space="preserve">≤ </w:t>
            </w:r>
            <w:r>
              <w:rPr/>
              <w:t>2.00 to 1.00 but &gt; 1.25 to 1.00</w:t>
            </w:r>
          </w:p>
        </w:tc>
        <w:tc>
          <w:tcPr>
            <w:tcW w:w="148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0.35%</w:t>
            </w:r>
          </w:p>
        </w:tc>
        <w:tc>
          <w:tcPr>
            <w:tcW w:w="2194"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1.75%</w:t>
            </w:r>
          </w:p>
        </w:tc>
        <w:tc>
          <w:tcPr>
            <w:tcW w:w="3646"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2.75%</w:t>
            </w:r>
          </w:p>
        </w:tc>
      </w:tr>
      <w:tr>
        <w:trPr/>
        <w:tc>
          <w:tcPr>
            <w:tcW w:w="6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center"/>
              <w:rPr/>
            </w:pPr>
            <w:r>
              <w:rPr/>
              <w:t>III</w:t>
            </w:r>
          </w:p>
        </w:tc>
        <w:tc>
          <w:tcPr>
            <w:tcW w:w="2242"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 xml:space="preserve">≤ </w:t>
            </w:r>
            <w:r>
              <w:rPr/>
              <w:t>1.25 to 1.00 but &gt; 0.50 to 1.00</w:t>
            </w:r>
          </w:p>
        </w:tc>
        <w:tc>
          <w:tcPr>
            <w:tcW w:w="148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0.30%</w:t>
            </w:r>
          </w:p>
        </w:tc>
        <w:tc>
          <w:tcPr>
            <w:tcW w:w="2194"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1.50%</w:t>
            </w:r>
          </w:p>
        </w:tc>
        <w:tc>
          <w:tcPr>
            <w:tcW w:w="3646"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2.50%</w:t>
            </w:r>
          </w:p>
        </w:tc>
      </w:tr>
      <w:tr>
        <w:trPr/>
        <w:tc>
          <w:tcPr>
            <w:tcW w:w="6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center"/>
              <w:rPr/>
            </w:pPr>
            <w:r>
              <w:rPr/>
              <w:t>IV</w:t>
            </w:r>
          </w:p>
        </w:tc>
        <w:tc>
          <w:tcPr>
            <w:tcW w:w="2242"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 xml:space="preserve">≤ </w:t>
            </w:r>
            <w:r>
              <w:rPr/>
              <w:t>0.50 to 1.00</w:t>
            </w:r>
          </w:p>
        </w:tc>
        <w:tc>
          <w:tcPr>
            <w:tcW w:w="148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0.25%</w:t>
            </w:r>
          </w:p>
        </w:tc>
        <w:tc>
          <w:tcPr>
            <w:tcW w:w="2194"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pPr>
            <w:r>
              <w:rPr/>
              <w:t>1.25%</w:t>
            </w:r>
          </w:p>
        </w:tc>
        <w:tc>
          <w:tcPr>
            <w:tcW w:w="36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2.25%</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increase or decrease in the Applicable Margin resulting from a change in the First Lien Net Leverage Ratio shall become effective as of the third Business Day immediately following the date a Compliance Certificate is delivered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“Pricing Level I” in the table set forth above shall apply without regard to the First Lien Net Leverage Ratio at any time after the date on which any annual or quarterly financial statements were required to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but were not delivered (or the Compliance Certificate related to such financial statements was required to have been delivered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but was not delivered), commencing with the fifth Business Day immediately following such date and continuing until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fifth Business Day immediately following the date on which such financial statements (or, if later, the Compliance Certificate related to such financial statements) are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xml:space="preserve">” shall mean, with respect to any Lender of any Class, the percentage of the total Commitments of such Class represented by such Lender’s Commitment of such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when a Defaulting Lender shall exist, “Applicable Percentage” shall mean the percentage of the total Commitments of such Class (disregarding any Defaulting Lender’s Commitment of such Class) represented by such Lender’s Commitment of such Class. If the Commitments of any Class have terminated or expired, the Applicable Percentages for such Class shall be determined based upon the Commitments of such Class most recently in effect, giving effect to any assignments and to any Lender’s status as a Defaulting Lender at the time of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Bank</w:t>
      </w:r>
      <w:r>
        <w:rPr>
          <w:rFonts w:ascii="Times New Roman;Times;Serif" w:hAnsi="Times New Roman;Times;Serif"/>
          <w:b w:val="false"/>
          <w:i w:val="false"/>
          <w:caps w:val="false"/>
          <w:smallCaps w:val="false"/>
          <w:sz w:val="20"/>
        </w:rPr>
        <w:t>” shall have the meaning set forth in the definition of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shall mean any Fund that is administered or managed by (a) a Lender, (b) an Affiliate of a Lender or (c) an entity or an Affiliate of an entity that administers or manages a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Arrangers</w:t>
      </w:r>
      <w:r>
        <w:rPr>
          <w:rFonts w:ascii="Times New Roman;Times;Serif" w:hAnsi="Times New Roman;Times;Serif"/>
          <w:b w:val="false"/>
          <w:i w:val="false"/>
          <w:caps w:val="false"/>
          <w:smallCaps w:val="false"/>
          <w:sz w:val="20"/>
        </w:rPr>
        <w:t>” shall mean each of (i) JPMorgan Chase Bank, N.A., (ii) Regions Capital Markets, a division of Regions Bank, (iii) The Huntington National Bank and (iv) Bank of America, 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Disposition</w:t>
      </w:r>
      <w:r>
        <w:rPr>
          <w:rFonts w:ascii="Times New Roman;Times;Serif" w:hAnsi="Times New Roman;Times;Serif"/>
          <w:b w:val="false"/>
          <w:i w:val="false"/>
          <w:caps w:val="false"/>
          <w:smallCaps w:val="false"/>
          <w:sz w:val="20"/>
        </w:rPr>
        <w:t>” shall mean the disposition of any or all of the assets (including, without limitation, the Equity Interests of a Subsidiary or any ownership interest in a joint venture) of the Lead Borrower or any Restricted Subsidiary whether by sale, lease, transfer or otherwise, in a single transaction or in a series of transactions. The term “Asset Disposition” shall not include (a) any Disposition permitted by Subsections 6.4(a)(i) through (x), or (b) any Equity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shall mean an assignment and assumption entered into by a Lender and an Eligible Assignee (with the consent of any party whose consent is required by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and accepted by the Administrative Agent, in substantially the form of </w:t>
      </w:r>
      <w:r>
        <w:rPr>
          <w:rFonts w:ascii="Times New Roman;Times;Serif" w:hAnsi="Times New Roman;Times;Serif"/>
          <w:b w:val="false"/>
          <w:i w:val="false"/>
          <w:caps w:val="false"/>
          <w:smallCaps w:val="false"/>
          <w:sz w:val="20"/>
          <w:u w:val="single"/>
        </w:rPr>
        <w:t>Exhibit 1.1(a)</w:t>
      </w:r>
      <w:r>
        <w:rPr>
          <w:rFonts w:ascii="Times New Roman;Times;Serif" w:hAnsi="Times New Roman;Times;Serif"/>
          <w:b w:val="false"/>
          <w:i w:val="false"/>
          <w:caps w:val="false"/>
          <w:smallCaps w:val="false"/>
          <w:sz w:val="20"/>
        </w:rPr>
        <w:t xml:space="preserve"> or any other form (including electronic records generated by the use of an electronic platform) approved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Officers</w:t>
      </w:r>
      <w:r>
        <w:rPr>
          <w:rFonts w:ascii="Times New Roman;Times;Serif" w:hAnsi="Times New Roman;Times;Serif"/>
          <w:b w:val="false"/>
          <w:i w:val="false"/>
          <w:caps w:val="false"/>
          <w:smallCaps w:val="false"/>
          <w:sz w:val="20"/>
        </w:rPr>
        <w:t>” shall mean any Responsible Officer or any chief accounting officer, head of finance, vice president of finance or corporate controller of the Lead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Amount</w:t>
      </w:r>
      <w:r>
        <w:rPr>
          <w:rFonts w:ascii="Times New Roman;Times;Serif" w:hAnsi="Times New Roman;Times;Serif"/>
          <w:b w:val="false"/>
          <w:i w:val="false"/>
          <w:caps w:val="false"/>
          <w:smallCaps w:val="false"/>
          <w:sz w:val="20"/>
        </w:rPr>
        <w:t>” shall mean, as of any date of determination, an amount not less than zero in the aggregate, determined on a cumulative basis, equal to the sum of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50.0% of the Consolidated Net Income of the Lead Borrower and the Restricted Subsidiaries for the period (treated as one accounting period) from the first day of the fiscal quarter in which the Closing Date occurs to the end of the most recent fiscal quarter for which consolidated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(provided that this clause (a) shall in no event be less than $0);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new qualified cash equity contributions to the Lead Borrower (including, without limitation, any cash proceeds received by the Lead Borrower or any of its Subsidiaries from sales of Equity Interests to directors, consultants or employees in connection with equity incentive arrangements, but excluding Specified Equity Contributions or contributions used to incur Contribution Indebtedness);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Returns received or realized after the Closing Date and on or prior to such date of determination in respect of Investments made using the Available Amount (excluding Returns from Unrestricted Subsidiaries in respect of an Unrestricted Subsidiary’s share of tax based on its income);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 amount equal to the sum of (i) the amount of any Investments made by the Lead Borrower or any Restricted Subsidiary with the Available Amount in any Unrestricted Subsidiary that has been redesignated as a Restricted Subsidiary or has been merged, consolidated or amalgamated with or into, or is liquidated, wound up or dissolved into, the Lead Borrower or any Restricted Subsidiary (up to the lesser of (A) the Fair Market Value of the Investments of the Lead Borrower and its Restricted Subsidiaries in such Unrestricted Subsidiary at the time of such re-designation, merger, consolidation, amalgamation, liquidation, winding up or dissolution (as the case may be) and (B) the Fair Market Value of the original Investment by the Lead Borrower and its Restricted Subsidiaries in such Unrestricted Subsidiary) and (ii) the amount of Permitted Investments and the Fair Market Value of any property or assets of any Unrestricted Subsidiary that has been transferred, conveyed or otherwise distributed to the Lead Borrower or any Restricted Subsidiary but solely to the extent the initial Investment of assets in such Unrestricted Subsidiary were made in reliance on the Available Amount, in each case, after the Closing Date and on or prior to such date of determination; </w:t>
      </w:r>
      <w:r>
        <w:rPr>
          <w:rFonts w:ascii="Times New Roman;Times;Serif" w:hAnsi="Times New Roman;Times;Serif"/>
          <w:b w:val="false"/>
          <w:i w:val="false"/>
          <w:caps w:val="false"/>
          <w:smallCaps w:val="false"/>
          <w:sz w:val="20"/>
          <w:u w:val="single"/>
        </w:rPr>
        <w:t>minus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 amount equal to the sum of (i) Restricted Payments made pursuant to </w:t>
      </w:r>
      <w:r>
        <w:rPr>
          <w:rFonts w:ascii="Times New Roman;Times;Serif" w:hAnsi="Times New Roman;Times;Serif"/>
          <w:b w:val="false"/>
          <w:i w:val="false"/>
          <w:caps w:val="false"/>
          <w:smallCaps w:val="false"/>
          <w:sz w:val="20"/>
          <w:u w:val="single"/>
        </w:rPr>
        <w:t>Section 6.9(a)(v)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Restricted Debt Payments made pursuant to </w:t>
      </w:r>
      <w:r>
        <w:rPr>
          <w:rFonts w:ascii="Times New Roman;Times;Serif" w:hAnsi="Times New Roman;Times;Serif"/>
          <w:b w:val="false"/>
          <w:i w:val="false"/>
          <w:caps w:val="false"/>
          <w:smallCaps w:val="false"/>
          <w:sz w:val="20"/>
          <w:u w:val="single"/>
        </w:rPr>
        <w:t>Section 6.9(b)(iv)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(iii) Investments made pursuant to </w:t>
      </w:r>
      <w:r>
        <w:rPr>
          <w:rFonts w:ascii="Times New Roman;Times;Serif" w:hAnsi="Times New Roman;Times;Serif"/>
          <w:b w:val="false"/>
          <w:i w:val="false"/>
          <w:caps w:val="false"/>
          <w:smallCaps w:val="false"/>
          <w:sz w:val="20"/>
          <w:u w:val="single"/>
        </w:rPr>
        <w:t>Section 6.5(l)</w:t>
      </w:r>
      <w:r>
        <w:rPr>
          <w:rFonts w:ascii="Times New Roman;Times;Serif" w:hAnsi="Times New Roman;Times;Serif"/>
          <w:b w:val="false"/>
          <w:i w:val="false"/>
          <w:caps w:val="false"/>
          <w:smallCaps w:val="false"/>
          <w:sz w:val="20"/>
        </w:rPr>
        <w:t>, in each case, made after the Closing Date and on or prior to such date of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xml:space="preserve">” shall mean,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(e) of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shall mean the exercise of any Write-Down and Conversion Powers by the applicable Resolution Authority in respect of any liability of an Affected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Product</w:t>
      </w:r>
      <w:r>
        <w:rPr>
          <w:rFonts w:ascii="Times New Roman;Times;Serif" w:hAnsi="Times New Roman;Times;Serif"/>
          <w:b w:val="false"/>
          <w:i w:val="false"/>
          <w:caps w:val="false"/>
          <w:smallCaps w:val="false"/>
          <w:sz w:val="20"/>
        </w:rPr>
        <w:t>” shall mean any of the following products, services or facilities extended to the Lead Borrower or any Restricted Subsidiary by any Bank Product Provider: (a) Cash Management Services; (b) products under any Hedging Agreement; and (c) commercial credit card, purchase card and merchant card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Product Debt</w:t>
      </w:r>
      <w:r>
        <w:rPr>
          <w:rFonts w:ascii="Times New Roman;Times;Serif" w:hAnsi="Times New Roman;Times;Serif"/>
          <w:b w:val="false"/>
          <w:i w:val="false"/>
          <w:caps w:val="false"/>
          <w:smallCaps w:val="false"/>
          <w:sz w:val="20"/>
        </w:rPr>
        <w:t>” shall mean the Indebtedness and other obligations of the Lead Borrower or any Restricted Subsidiary relating to Bank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Product Provider</w:t>
      </w:r>
      <w:r>
        <w:rPr>
          <w:rFonts w:ascii="Times New Roman;Times;Serif" w:hAnsi="Times New Roman;Times;Serif"/>
          <w:b w:val="false"/>
          <w:i w:val="false"/>
          <w:caps w:val="false"/>
          <w:smallCaps w:val="false"/>
          <w:sz w:val="20"/>
        </w:rPr>
        <w:t>” shall mean any Person that provides Bank Products to the Lead Borrower or any Restricted Subsidiary to the extent that (a) such Person is the Administrative Agent, a Lender, 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of a Lender or any other Person that was a Lender (or an Affiliate of a Lender) at the time it entered into the Bank Product but has ceased to be a Lender (or whose Affiliate has ceased to be a Lender) under this Agreement or (b) such Person is the Administrative Agent, a Lender or an Affiliate of a Lender on the Closing Date and the Bank Product was entered into on or prior to the Closing Date (even if such Person ceases to be a Lender or such Person’s Affiliate ceased to be a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shall mean the Bankruptcy Code in Title 11 of the United States Code, as amended, modified, succeeded or replaced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shall mean any of the events described in </w:t>
      </w:r>
      <w:r>
        <w:rPr>
          <w:rFonts w:ascii="Times New Roman;Times;Serif" w:hAnsi="Times New Roman;Times;Serif"/>
          <w:b w:val="false"/>
          <w:i w:val="false"/>
          <w:caps w:val="false"/>
          <w:smallCaps w:val="false"/>
          <w:sz w:val="20"/>
          <w:u w:val="single"/>
        </w:rPr>
        <w:t>Section 7.1(f)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shall mean, initially, with respect to any (i) RFR Loan, the Daily Simple SOFR or (ii) Term Benchmark Loan, the Term SOFR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and the related Benchmark Replacement Date have occurred with respect to the Daily Simple SOFR or Term SOFR Rate, as applicable, or the then-current Benchmark, then “Benchmark” shall mean the applicable Benchmark Replacement to the extent that such Benchmark Replacement has replaced such prior benchmark rate pursuant to clause (b) of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shall mean, for any Available Tenor, the first alternative set forth in the order below that can be determined by the Administrative Agent for the applicable Benchmark Replacement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Adjusted Daily Simple SOFR; or</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 the alternate benchmark rate that has been selected by the Administrative Agent and the Lead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clause (1) or (2) above would be less than the Floor, the Benchmark Replacement will be deemed to be the Floor for the purposes of this Agreement and the other Credit Documents.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shall mean, with respect to any replacement of the then- 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Lead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shall mean,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shall mean the earliest to occur of the following events with respect to the then-current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73"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date of the public statement or publication of information referenced therein and</w:t>
      </w:r>
    </w:p>
    <w:p>
      <w:pPr>
        <w:pStyle w:val="TextBody"/>
        <w:bidi w:val="0"/>
        <w:spacing w:before="0" w:after="0"/>
        <w:ind w:left="773" w:right="0" w:firstLine="720"/>
        <w:jc w:val="both"/>
        <w:rPr>
          <w:caps w:val="false"/>
          <w:smallCaps w:val="false"/>
        </w:rPr>
      </w:pPr>
      <w:r>
        <w:rPr>
          <w:caps w:val="false"/>
          <w:smallCaps w:val="false"/>
        </w:rPr>
        <w:t> </w:t>
      </w:r>
    </w:p>
    <w:p>
      <w:pPr>
        <w:pStyle w:val="TextBody"/>
        <w:bidi w:val="0"/>
        <w:spacing w:before="0" w:after="0"/>
        <w:ind w:left="773"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before="0" w:after="0"/>
        <w:ind w:left="773"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shall mean the occurrence of one or more of the following events with respect to the then-current Benchmark:</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283"/>
              <w:jc w:val="both"/>
              <w:rPr/>
            </w:pPr>
            <w:r>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if such Benchmark is a term rate,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283"/>
              <w:jc w:val="both"/>
              <w:rPr/>
            </w:pPr>
            <w:r>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u w:val="single"/>
              </w:rPr>
              <w:t>provided</w:t>
            </w:r>
            <w:r>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283"/>
              <w:jc w:val="both"/>
              <w:rPr/>
            </w:pPr>
            <w:r>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shall mean, with respect to any Benchmark, the period (if any) (x) beginning at the time that a Benchmark Replacement Date has occurred if, at such time, no Benchmark Replacement has replaced the then-current Benchmark for all purposes hereunder and under any Credit Document in accordance with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and (y) ending at the time that a Benchmark Replacement has replaced the then-current Benchmark for all purposes hereunder and under any Credit Document in accordance with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shall mean a certification regarding beneficial ownership as required by the Beneficial Ownership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shall mean 31 C.F.R. § 1010.230.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of a party shall mean an “affiliate” (as such term is defined under, and interpreted in accordance with, 12 U.S.C. 1841(k)) of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shall refer to each of the Lead Borrower, the Initial Subsidiary Borrower and any Additional Subsidiary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Agent</w:t>
      </w:r>
      <w:r>
        <w:rPr>
          <w:rFonts w:ascii="Times New Roman;Times;Serif" w:hAnsi="Times New Roman;Times;Serif"/>
          <w:b w:val="false"/>
          <w:i w:val="false"/>
          <w:caps w:val="false"/>
          <w:smallCaps w:val="false"/>
          <w:sz w:val="20"/>
        </w:rPr>
        <w:t>” shall mean any agent of any Borrower acting in capacity with, or benefitting from, this Agreement or the proceeds of any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Historical Financial Statements</w:t>
      </w:r>
      <w:r>
        <w:rPr>
          <w:rFonts w:ascii="Times New Roman;Times;Serif" w:hAnsi="Times New Roman;Times;Serif"/>
          <w:b w:val="false"/>
          <w:i w:val="false"/>
          <w:caps w:val="false"/>
          <w:smallCaps w:val="false"/>
          <w:sz w:val="20"/>
        </w:rPr>
        <w:t>” shall have the meaning set forth in the definition of “Historical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shall mean Loans of the same Class and Type, made, converted or continued on the same date and, in the case of Term Benchmark Loans, as to which a single Interest Period is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Date</w:t>
      </w:r>
      <w:r>
        <w:rPr>
          <w:rFonts w:ascii="Times New Roman;Times;Serif" w:hAnsi="Times New Roman;Times;Serif"/>
          <w:b w:val="false"/>
          <w:i w:val="false"/>
          <w:caps w:val="false"/>
          <w:smallCaps w:val="false"/>
          <w:sz w:val="20"/>
        </w:rPr>
        <w:t>” shall mean, in respect of any Loan, the date such Loan is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3.10(c)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shall mean, any day (other than a Saturday or a Sunday) on which banks are open for business in New York City;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addition to the foregoing, a Business Day shall be any such day that is only a U.S. Government Securities Business Day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w:t>
      </w:r>
      <w:r>
        <w:rPr>
          <w:rFonts w:ascii="Times New Roman;Times;Serif" w:hAnsi="Times New Roman;Times;Serif"/>
          <w:b w:val="false"/>
          <w:i w:val="false"/>
          <w:caps w:val="false"/>
          <w:smallCaps w:val="false"/>
          <w:sz w:val="20"/>
        </w:rPr>
        <w:t>” shall mean any lease of property, real or personal, the obligations with respect to which are required to be capitalized on a balance sheet of the lessee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Obligations</w:t>
      </w:r>
      <w:r>
        <w:rPr>
          <w:rFonts w:ascii="Times New Roman;Times;Serif" w:hAnsi="Times New Roman;Times;Serif"/>
          <w:b w:val="false"/>
          <w:i w:val="false"/>
          <w:caps w:val="false"/>
          <w:smallCaps w:val="false"/>
          <w:sz w:val="20"/>
        </w:rPr>
        <w:t>” shall mean the capitalized lease obligations relating to a Capital Lease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Collateralize</w:t>
      </w:r>
      <w:r>
        <w:rPr>
          <w:rFonts w:ascii="Times New Roman;Times;Serif" w:hAnsi="Times New Roman;Times;Serif"/>
          <w:b w:val="false"/>
          <w:i w:val="false"/>
          <w:caps w:val="false"/>
          <w:smallCaps w:val="false"/>
          <w:sz w:val="20"/>
        </w:rPr>
        <w:t>” shall mean to pledge and deposit with or deliver to the Administrative Agent, for the benefit of one or more of the Issuing Lenders or Lenders, as collateral for LOC Obligations or obligations of Lenders to fund participations in respect of LOC Obligations, cash or deposit account balances or, if the Administrative Agent and each applicable Issuing Lender shall agree in their sole discretion, other credit support, in each case pursuant to documentation in form and substance satisfactory to the Administrative Agent and each applicable Issuing Lender.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shall have a meaning correlative to the foregoing and shall include the proceeds of such cash collateral and other credit support.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shall mean (a) securities issued or directly and fully guaranteed or insured by the United States of America or any agency or instrumentality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full faith and credit of the United States of America is pledged in support thereof) having maturities of not more than twelve months from the date of acquisition (“</w:t>
      </w:r>
      <w:r>
        <w:rPr>
          <w:rFonts w:ascii="Times New Roman;Times;Serif" w:hAnsi="Times New Roman;Times;Serif"/>
          <w:b w:val="false"/>
          <w:i w:val="false"/>
          <w:caps w:val="false"/>
          <w:smallCaps w:val="false"/>
          <w:sz w:val="20"/>
          <w:u w:val="single"/>
        </w:rPr>
        <w:t>Government Obligations</w:t>
      </w:r>
      <w:r>
        <w:rPr>
          <w:rFonts w:ascii="Times New Roman;Times;Serif" w:hAnsi="Times New Roman;Times;Serif"/>
          <w:b w:val="false"/>
          <w:i w:val="false"/>
          <w:caps w:val="false"/>
          <w:smallCaps w:val="false"/>
          <w:sz w:val="20"/>
        </w:rPr>
        <w:t>”), (b) Dollar denominated time deposits, certificates of deposit, Eurodollar time deposits and Eurodollar certificates of deposit of (i) any domestic commercial bank of recognized standing having capital and surplus in excess of $500,000,000 or (ii) any bank whose short-term commercial paper rating at the time of the acquisition thereof is at least A-1 or the equivalent thereof from S&amp;P or from Moody’s is at least P-1 or the equivalent thereof from Moody’s (any such bank being an “</w:t>
      </w:r>
      <w:r>
        <w:rPr>
          <w:rFonts w:ascii="Times New Roman;Times;Serif" w:hAnsi="Times New Roman;Times;Serif"/>
          <w:b w:val="false"/>
          <w:i w:val="false"/>
          <w:caps w:val="false"/>
          <w:smallCaps w:val="false"/>
          <w:sz w:val="20"/>
          <w:u w:val="single"/>
        </w:rPr>
        <w:t>Approved Bank</w:t>
      </w:r>
      <w:r>
        <w:rPr>
          <w:rFonts w:ascii="Times New Roman;Times;Serif" w:hAnsi="Times New Roman;Times;Serif"/>
          <w:b w:val="false"/>
          <w:i w:val="false"/>
          <w:caps w:val="false"/>
          <w:smallCaps w:val="false"/>
          <w:sz w:val="20"/>
        </w:rPr>
        <w:t>”), in each case with maturities of not more than 364 days from the date of acquisition, (c) commercial paper and variable or fixed rate notes issued by any Approved Bank (or by the parent company thereof) or any variable rate notes issued by, or guaranteed by any domestic corporation rated A-1 (or the equivalent thereof) or better by S&amp;P or P-1 (or the equivalent thereof) or better by Moody’s and maturing within six months of the date of acquisition, (d) repurchase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term of not more than thirty (30) days with a bank or trust company (including a Lender) or a recognized securities dealer having capital and surplus in excess of $500,000,000 for direct obligations issued by or fully guaranteed by the United States of America, (e) obligations of any state of the United States or any political subdivision thereof for the payment of the principal and redemption price of and interest on which there shall have been irrevocably deposited Government Obligations maturing as to principal and interest at times and in amounts sufficient to provide such payment, (f) money market accounts subject to Rule 2a-7 of the Investment Company Act of 1940 (“</w:t>
      </w:r>
      <w:r>
        <w:rPr>
          <w:rFonts w:ascii="Times New Roman;Times;Serif" w:hAnsi="Times New Roman;Times;Serif"/>
          <w:b w:val="false"/>
          <w:i w:val="false"/>
          <w:caps w:val="false"/>
          <w:smallCaps w:val="false"/>
          <w:sz w:val="20"/>
          <w:u w:val="single"/>
        </w:rPr>
        <w:t>Rule 2a-7</w:t>
      </w:r>
      <w:r>
        <w:rPr>
          <w:rFonts w:ascii="Times New Roman;Times;Serif" w:hAnsi="Times New Roman;Times;Serif"/>
          <w:b w:val="false"/>
          <w:i w:val="false"/>
          <w:caps w:val="false"/>
          <w:smallCaps w:val="false"/>
          <w:sz w:val="20"/>
        </w:rPr>
        <w:t xml:space="preserve">”) which consist primarily of cash and cash equivalents set forth in clauses (a) through (e) above and of which 95% shall at all times be comprised of First Tier Securities (as defined in Rule 2a-7) and any remaining amount shall at all times be comprised of Second Tier Securities (as defined in Rule 2a-7) and (g) shares of any so-called “money market fund”;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such fund is registered under the Investment Company Act of 1940, has net assets of at least $500,000,000 and has an investment portfolio with an average maturity of 365 days or 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Services</w:t>
      </w:r>
      <w:r>
        <w:rPr>
          <w:rFonts w:ascii="Times New Roman;Times;Serif" w:hAnsi="Times New Roman;Times;Serif"/>
          <w:b w:val="false"/>
          <w:i w:val="false"/>
          <w:caps w:val="false"/>
          <w:smallCaps w:val="false"/>
          <w:sz w:val="20"/>
        </w:rPr>
        <w:t>” shall mean any services provided from time to time to the Lead Borrower or any Restricted Subsidiary in connection with operating, collections, payroll, trust, or other depository or disbursement accounts, including automatic clearinghouse, controlled disbursement, depository, electronic funds transfer, information reporting, lockbox, stop payment, overdraft and/or wire transfer services and all other treasury and cash management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w:t>
      </w:r>
      <w:r>
        <w:rPr>
          <w:rFonts w:ascii="Times New Roman;Times;Serif" w:hAnsi="Times New Roman;Times;Serif"/>
          <w:b w:val="false"/>
          <w:i w:val="false"/>
          <w:caps w:val="false"/>
          <w:smallCaps w:val="false"/>
          <w:sz w:val="20"/>
        </w:rPr>
        <w:t xml:space="preserve">” shall mean a “controlled foreign corporation” within the meaning of </w:t>
      </w:r>
      <w:r>
        <w:rPr>
          <w:rFonts w:ascii="Times New Roman;Times;Serif" w:hAnsi="Times New Roman;Times;Serif"/>
          <w:b w:val="false"/>
          <w:i w:val="false"/>
          <w:caps w:val="false"/>
          <w:smallCaps w:val="false"/>
          <w:sz w:val="20"/>
          <w:u w:val="single"/>
        </w:rPr>
        <w:t>Section 957(a)</w:t>
      </w:r>
      <w:r>
        <w:rPr>
          <w:rFonts w:ascii="Times New Roman;Times;Serif" w:hAnsi="Times New Roman;Times;Serif"/>
          <w:b w:val="false"/>
          <w:i w:val="false"/>
          <w:caps w:val="false"/>
          <w:smallCaps w:val="false"/>
          <w:sz w:val="20"/>
        </w:rPr>
        <w:t xml:space="preserve">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shall mean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shall mean at any time the occurrence of any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Lead Borrower shall fail to own 100% of the Equity Interests of the Initial Subsidiary Borrower and each Additional Subsidiary Borrower (in each case, for so long as the Initial Subsidiary Borrower or such Additional Subsidiary Borrower is a Borrower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any “person” or “group” (as such terms are used in </w:t>
      </w:r>
      <w:r>
        <w:rPr>
          <w:rFonts w:ascii="Times New Roman;Times;Serif" w:hAnsi="Times New Roman;Times;Serif"/>
          <w:b w:val="false"/>
          <w:i w:val="false"/>
          <w:caps w:val="false"/>
          <w:smallCaps w:val="false"/>
          <w:sz w:val="20"/>
          <w:u w:val="single"/>
        </w:rPr>
        <w:t>Section 13(d)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14(d)</w:t>
      </w:r>
      <w:r>
        <w:rPr>
          <w:rFonts w:ascii="Times New Roman;Times;Serif" w:hAnsi="Times New Roman;Times;Serif"/>
          <w:b w:val="false"/>
          <w:i w:val="false"/>
          <w:caps w:val="false"/>
          <w:smallCaps w:val="false"/>
          <w:sz w:val="20"/>
        </w:rPr>
        <w:t xml:space="preserve"> of the Exchange Act), is or becomes the “beneficial owner” (as defined in Rules 13d-3 and 13d-5 under the Exchange Act, except that a person shall be deemed to have “beneficial ownership” of all securities that such person has the right to acquire, whether such right is exercisable immediately or only after the passage of time), directly or indirectly, of thirty-five percent (35%) or more of the then outstanding Voting Stock of the Lead Borrower or (ii) any Person or two or more Persons acting in concert, shall have acquired by contract or otherwise, or shall have entered into a contract or arrangement that, upon consummation thereof, will result in its or their acquisition of the power to exercise, directly or indirectly, a controlling influence over the management or policies of the Lead Borrower or control over the Voting Stock of the Lead Borrower on a fully-diluted basis (and taking into account all such Voting Stock that such Person or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right to acquire pursuant to any option right) representing thirty-five percent (35%) or more of the then outstanding Voting Stock of the Lead Borrower;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shall have occurred a “Change of Control” (as defined in the Preferred Equity Agreement) under the Preferred Equity Agreement or a similar event, however denominated under any Junior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 any Loan or Extension of Credit, refers to whether such Loan, or the Loans comprising such borrowing, are Revolving Loans, Swingline Loans, Revolving Facility Increase, Other Revolving Loans, Term Loans, Incremental Term Facilities or Other Term Loans, (b) any Commitment, refers to whether such Commitment is a Revolving Commitment, Other Revolving Commitment, Initial Term Loan Commitment or Other Term Commitment or (c) any Lender, refers to whether such Lender has a Loan or Commitment with respect to a particular Class of Loans or Commitments. Other Term Commitments, Other Term Loans, Other Revolving Commitments (and the Other Revolving Loans made pursuant thereto), Revolving Facility Increases and Incremental Term Facilities that have different terms and conditions shall be deemed to comprise different Classes.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mean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Refinancing</w:t>
      </w:r>
      <w:r>
        <w:rPr>
          <w:rFonts w:ascii="Times New Roman;Times;Serif" w:hAnsi="Times New Roman;Times;Serif"/>
          <w:b w:val="false"/>
          <w:i w:val="false"/>
          <w:caps w:val="false"/>
          <w:smallCaps w:val="false"/>
          <w:sz w:val="20"/>
        </w:rPr>
        <w:t>” shall have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CME Term SOFR Administrator</w:t>
      </w:r>
      <w:r>
        <w:rPr>
          <w:rFonts w:ascii="Times New Roman;Times;Serif" w:hAnsi="Times New Roman;Times;Serif"/>
          <w:b w:val="false"/>
          <w:i w:val="false"/>
          <w:caps w:val="false"/>
          <w:smallCaps w:val="false"/>
          <w:sz w:val="20"/>
        </w:rPr>
        <w:t>” shall mean CME Group Benchmark Administration Limited as administrator of the forward-looking term Secured Overnight Financing Rate (SOFR) (or a successor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Internal Revenue Code of 1986,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xml:space="preserve">” shall mean a collective reference to the collateral which is identified in, and at any time will be covered by, the Security Documents and any other property or assets of a Credit Party, whether tangible or intangible, that may from time to time secure the Credit Party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be excluded from the Collateral (a) any account, instrument, chattel paper or other obligation or property of any kind due from, owed by, or belonging to, a Sanctioned Person, (b) any lease in which the lessee is a Sanctioned Person and (c) Excluded Assets (as defined in the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shall mean the Revolving Commitments, the Letter of Credit Commitment, the Initial Term Loan Commitments and the Swingline Commitment, individually or collectively,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Percentage</w:t>
      </w:r>
      <w:r>
        <w:rPr>
          <w:rFonts w:ascii="Times New Roman;Times;Serif" w:hAnsi="Times New Roman;Times;Serif"/>
          <w:b w:val="false"/>
          <w:i w:val="false"/>
          <w:caps w:val="false"/>
          <w:smallCaps w:val="false"/>
          <w:sz w:val="20"/>
        </w:rPr>
        <w:t>” shall mean the Revolving Commitment Percentage and/or the Term Loan Commitment Percentage,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Period</w:t>
      </w:r>
      <w:r>
        <w:rPr>
          <w:rFonts w:ascii="Times New Roman;Times;Serif" w:hAnsi="Times New Roman;Times;Serif"/>
          <w:b w:val="false"/>
          <w:i w:val="false"/>
          <w:caps w:val="false"/>
          <w:smallCaps w:val="false"/>
          <w:sz w:val="20"/>
        </w:rPr>
        <w:t>” shall mean (a) with respect to Revolving Loans and Swingline Loans, the period from and including the Closing Date to but excluding the Revolving Maturity Date and (b) with respect to Letters of Credit, the period from and including the Closing Date to but excluding the date that is thirty (30) days prior to the Revolving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shall mean the Commodity Exchange Act (7 U.S.C. § 1 et seq.).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Commonly Controlled Entity</w:t>
      </w:r>
      <w:r>
        <w:rPr>
          <w:rFonts w:ascii="Times New Roman;Times;Serif" w:hAnsi="Times New Roman;Times;Serif"/>
          <w:b w:val="false"/>
          <w:i w:val="false"/>
          <w:caps w:val="false"/>
          <w:smallCaps w:val="false"/>
          <w:sz w:val="20"/>
        </w:rPr>
        <w:t xml:space="preserve">” shall mean an entity, whether or not incorporated, which is under common control with the Lead Borrower within the meaning of </w:t>
      </w:r>
      <w:r>
        <w:rPr>
          <w:rFonts w:ascii="Times New Roman;Times;Serif" w:hAnsi="Times New Roman;Times;Serif"/>
          <w:b w:val="false"/>
          <w:i w:val="false"/>
          <w:caps w:val="false"/>
          <w:smallCaps w:val="false"/>
          <w:sz w:val="20"/>
          <w:u w:val="single"/>
        </w:rPr>
        <w:t>Section 4001(b)(1)</w:t>
      </w:r>
      <w:r>
        <w:rPr>
          <w:rFonts w:ascii="Times New Roman;Times;Serif" w:hAnsi="Times New Roman;Times;Serif"/>
          <w:b w:val="false"/>
          <w:i w:val="false"/>
          <w:caps w:val="false"/>
          <w:smallCaps w:val="false"/>
          <w:sz w:val="20"/>
        </w:rPr>
        <w:t xml:space="preserve"> of ERISA or is part of a group which includes the Lead Borrower and which is treated as a single employer under </w:t>
      </w:r>
      <w:r>
        <w:rPr>
          <w:rFonts w:ascii="Times New Roman;Times;Serif" w:hAnsi="Times New Roman;Times;Serif"/>
          <w:b w:val="false"/>
          <w:i w:val="false"/>
          <w:caps w:val="false"/>
          <w:smallCaps w:val="false"/>
          <w:sz w:val="20"/>
          <w:u w:val="single"/>
        </w:rPr>
        <w:t>Section 414(b)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414(c)</w:t>
      </w:r>
      <w:r>
        <w:rPr>
          <w:rFonts w:ascii="Times New Roman;Times;Serif" w:hAnsi="Times New Roman;Times;Serif"/>
          <w:b w:val="false"/>
          <w:i w:val="false"/>
          <w:caps w:val="false"/>
          <w:smallCaps w:val="false"/>
          <w:sz w:val="20"/>
        </w:rPr>
        <w:t xml:space="preserve"> of the Code or, solely for purposes of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of the Code to the extent required by such Section, </w:t>
      </w:r>
      <w:r>
        <w:rPr>
          <w:rFonts w:ascii="Times New Roman;Times;Serif" w:hAnsi="Times New Roman;Times;Serif"/>
          <w:b w:val="false"/>
          <w:i w:val="false"/>
          <w:caps w:val="false"/>
          <w:smallCaps w:val="false"/>
          <w:sz w:val="20"/>
          <w:u w:val="single"/>
        </w:rPr>
        <w:t>Section 414(m)</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414(o)</w:t>
      </w:r>
      <w:r>
        <w:rPr>
          <w:rFonts w:ascii="Times New Roman;Times;Serif" w:hAnsi="Times New Roman;Times;Serif"/>
          <w:b w:val="false"/>
          <w:i w:val="false"/>
          <w:caps w:val="false"/>
          <w:smallCaps w:val="false"/>
          <w:sz w:val="20"/>
        </w:rPr>
        <w:t xml:space="preserve">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shall have the meaning set forth in the Acquisition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Refinancing</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Competitor</w:t>
      </w:r>
      <w:r>
        <w:rPr>
          <w:rFonts w:ascii="Times New Roman;Times;Serif" w:hAnsi="Times New Roman;Times;Serif"/>
          <w:b w:val="false"/>
          <w:i w:val="false"/>
          <w:caps w:val="false"/>
          <w:smallCaps w:val="false"/>
          <w:sz w:val="20"/>
        </w:rPr>
        <w:t>” shall mean any operating company competitor of the Lead Borrower, the Company or any of their respective Subsidiaries that is in the same or a substantially similar line of business as the Lead Borrower, the Company or any of their respective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shall mean Other Connection Taxes that are imposed on or measured by net income (however denominated) or that are franchise Taxes or branch profits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w:t>
      </w:r>
      <w:r>
        <w:rPr>
          <w:rFonts w:ascii="Times New Roman;Times;Serif" w:hAnsi="Times New Roman;Times;Serif"/>
          <w:b w:val="false"/>
          <w:i w:val="false"/>
          <w:caps w:val="false"/>
          <w:smallCaps w:val="false"/>
          <w:sz w:val="20"/>
        </w:rPr>
        <w:t>” shall mean, when used with reference to financial statements or financial statement items of the Lead Borrower and its Subsidiaries or any other Person, such statements or items on a consolidated basis in accordance with the consolidation principles of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Consolidated Cash Interest Expense</w:t>
      </w:r>
      <w:r>
        <w:rPr>
          <w:rFonts w:ascii="Times New Roman;Times;Serif" w:hAnsi="Times New Roman;Times;Serif"/>
          <w:b w:val="false"/>
          <w:i w:val="false"/>
          <w:caps w:val="false"/>
          <w:smallCaps w:val="false"/>
          <w:sz w:val="20"/>
        </w:rPr>
        <w:t>” shall mean, with respect to any Test Period, all cash interest expense, net of cash interest income, with respect to all outstanding Indebtedness of the Lead Borrower and its Restricted Subsidiaries on a Consolidated basis, including all cash fees accruing on the face amount of letters of credit and bankers’ acceptance financing and net cash costs (less net cash payments) under Hedging Agreements (other than in connection with early termination thereof), but excluding, for the avoidance of doubt, any non-cash interest expense and any capitalized interest, whether paid or accrued.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xml:space="preserve">” shall mean, with respect to any Person for any Test Period, without duplication, (a) Consolidated Net Income for such Test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sum of the following to the extent, except in the case of clause (b)(v)(B) below, deducted in calculating Consolidated Net Income for such Test Period: (i) Consolidated Interest Expense for such Test Period, (ii) tax expense (including, without limitation, any federal, state, local and foreign income and similar taxes) of the Lead Borrower and its Restricted Subsidiaries for such Test Period, (iii) depreciation and amortization expense of the Lead Borrower and its Restricted Subsidiaries for such Test Period and, to the extent they do not result in a cash charge or expense in any future period, any other non-cash charges and expenses, including amortization of goodwill and debt issue costs for such Test Period, (iv) upfront cash payments in respect of any Hedging Agreement made in such Test Period, and (v) in each case to the extent calculated in good faith by the Lead Borrower, (A) any charges, costs or expenses incurred pursuant to launches of new products (but excluding any research and development expenses), and (B) “run-rate” cost-savings, operating expense reductions and cost synergies related to (x) the Transactions and (y) after the Closing Date, any Permitted Acquisition, other acquisition or asset disposition, operating improvement, restructuring, cost savings initiative, any similar initiative and/or specified transaction that are projected in good faith by the Lead Borrower to result from actions that have been taken, or with respect to which substantial steps have been taken or are expected to be taken (in the good faith determination of the Lead Borrower) within 24 months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the Transactions) or such Permitted Acquisition, other acquisition or asset disposition, operating improvement, restructuring, cost savings initiative, similar initiative and/or specified transaction, as applicable, net of the amount of actual benefits realized during such Test Period from such transactions or 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the aggregate amount added back to Consolidated Net Income in calculating Consolidated EBITDA during any Test Period pursuant to this clause (v) shall not cumulatively exceed 35% of the Consolidated EBITDA in such Test Period and (2) the aggregate amount added back to Consolidated Net Income in calculating to Consolidated EBITDA during any Test Period pursuant to clause (B) above shall not exceed 20% of Consolidated EBITDA in such Test Period (in the case of each such cap, calculated after giving Pro Forma Effect to such amounts),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non-cash charges previously excluded in calculating Consolidated Net Income or previously added back to Consolidated Net Income in calculating Consolidated EBITDA, in each case, to the extent such non-cash charges have become cash charges during such Test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(d) to the extent included in the calculation of Consolidated Net Income, any other non-recurring, non-cash gains during such Test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prior to the Acquisition Closing Date, Consolidated EBITDA for the Lead Borrower and its Restricted Subsidiaries for the fiscal quarters ended September 30, 2023 through June 30, 2024 shall be deemed to be the Consolidated EBITDA amount set forth below opposite the applicable fiscal quarter, in each case (without duplication) as may be adjusted on a Pro Forma Basis:</w:t>
      </w:r>
    </w:p>
    <w:p>
      <w:pPr>
        <w:pStyle w:val="TextBody"/>
        <w:bidi w:val="0"/>
        <w:spacing w:before="0" w:after="0"/>
        <w:ind w:left="0" w:right="0" w:firstLine="720"/>
        <w:jc w:val="both"/>
        <w:rPr>
          <w:caps w:val="false"/>
          <w:smallCaps w:val="false"/>
        </w:rPr>
      </w:pPr>
      <w:r>
        <w:rPr>
          <w:caps w:val="false"/>
          <w:smallCaps w:val="false"/>
        </w:rPr>
        <w:t> </w:t>
      </w:r>
    </w:p>
    <w:tbl>
      <w:tblPr>
        <w:tblW w:w="4735" w:type="dxa"/>
        <w:jc w:val="center"/>
        <w:tblInd w:w="0" w:type="dxa"/>
        <w:tblLayout w:type="fixed"/>
        <w:tblCellMar>
          <w:top w:w="28" w:type="dxa"/>
          <w:left w:w="28" w:type="dxa"/>
          <w:bottom w:w="28" w:type="dxa"/>
          <w:right w:w="28" w:type="dxa"/>
        </w:tblCellMar>
      </w:tblPr>
      <w:tblGrid>
        <w:gridCol w:w="2300"/>
        <w:gridCol w:w="2435"/>
      </w:tblGrid>
      <w:tr>
        <w:trPr/>
        <w:tc>
          <w:tcPr>
            <w:tcW w:w="2300" w:type="dxa"/>
            <w:tcBorders>
              <w:top w:val="single" w:sz="8" w:space="0" w:color="000000"/>
              <w:left w:val="single" w:sz="8" w:space="0" w:color="000000"/>
              <w:bottom w:val="single" w:sz="8" w:space="0" w:color="000000"/>
              <w:right w:val="single" w:sz="8" w:space="0" w:color="000000"/>
            </w:tcBorders>
            <w:shd w:fill="E7E6E6" w:val="clear"/>
            <w:vAlign w:val="center"/>
          </w:tcPr>
          <w:p>
            <w:pPr>
              <w:pStyle w:val="TableContents"/>
              <w:bidi w:val="0"/>
              <w:spacing w:before="0" w:after="283"/>
              <w:ind w:left="0" w:right="0" w:hanging="0"/>
              <w:jc w:val="center"/>
              <w:rPr>
                <w:b/>
              </w:rPr>
            </w:pPr>
            <w:r>
              <w:rPr>
                <w:b/>
              </w:rPr>
              <w:t>Fiscal Quarter Ended</w:t>
            </w:r>
          </w:p>
        </w:tc>
        <w:tc>
          <w:tcPr>
            <w:tcW w:w="2435" w:type="dxa"/>
            <w:tcBorders>
              <w:top w:val="single" w:sz="8" w:space="0" w:color="000000"/>
              <w:bottom w:val="single" w:sz="8" w:space="0" w:color="000000"/>
              <w:right w:val="single" w:sz="8" w:space="0" w:color="000000"/>
            </w:tcBorders>
            <w:shd w:fill="E7E6E6" w:val="clear"/>
            <w:tcMar>
              <w:left w:w="0" w:type="dxa"/>
            </w:tcMar>
            <w:vAlign w:val="center"/>
          </w:tcPr>
          <w:p>
            <w:pPr>
              <w:pStyle w:val="TableContents"/>
              <w:bidi w:val="0"/>
              <w:spacing w:before="0" w:after="283"/>
              <w:ind w:left="0" w:right="0" w:hanging="0"/>
              <w:jc w:val="center"/>
              <w:rPr>
                <w:b/>
              </w:rPr>
            </w:pPr>
            <w:r>
              <w:rPr>
                <w:b/>
              </w:rPr>
              <w:t>Consolidated EBITDA</w:t>
            </w:r>
          </w:p>
        </w:tc>
      </w:tr>
      <w:tr>
        <w:trPr/>
        <w:tc>
          <w:tcPr>
            <w:tcW w:w="23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pPr>
            <w:r>
              <w:rPr/>
              <w:t>September 30, 2023</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$41,177,229.00</w:t>
            </w:r>
          </w:p>
        </w:tc>
      </w:tr>
      <w:tr>
        <w:trPr/>
        <w:tc>
          <w:tcPr>
            <w:tcW w:w="23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pPr>
            <w:r>
              <w:rPr/>
              <w:t>December 31, 2023</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$35,103,061.00</w:t>
            </w:r>
          </w:p>
        </w:tc>
      </w:tr>
      <w:tr>
        <w:trPr/>
        <w:tc>
          <w:tcPr>
            <w:tcW w:w="23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pPr>
            <w:r>
              <w:rPr/>
              <w:t>March 31, 2024</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$42,913,992.00</w:t>
            </w:r>
          </w:p>
        </w:tc>
      </w:tr>
      <w:tr>
        <w:trPr/>
        <w:tc>
          <w:tcPr>
            <w:tcW w:w="23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pPr>
            <w:r>
              <w:rPr/>
              <w:t>June 30, 2024</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$38,661,099.00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upon the occurrence of the Acquisition Closing Date, Consolidated EBITDA for the Lead Borrower and its Restricted Subsidiaries for the fiscal quarters ended September 30, 2023 through June 30, 2024 shall be deemed to be the Consolidated EBITDA amount set forth below opposite the applicable fiscal quarter, in each case (without duplication) as may be adjusted on a Pro Forma Basis:</w:t>
      </w:r>
    </w:p>
    <w:p>
      <w:pPr>
        <w:pStyle w:val="TextBody"/>
        <w:bidi w:val="0"/>
        <w:spacing w:before="0" w:after="0"/>
        <w:ind w:left="0" w:right="0" w:hanging="0"/>
        <w:jc w:val="both"/>
        <w:rPr>
          <w:caps w:val="false"/>
          <w:smallCaps w:val="false"/>
        </w:rPr>
      </w:pPr>
      <w:r>
        <w:rPr>
          <w:caps w:val="false"/>
          <w:smallCaps w:val="false"/>
        </w:rPr>
        <w:t> </w:t>
      </w:r>
    </w:p>
    <w:tbl>
      <w:tblPr>
        <w:tblW w:w="4735" w:type="dxa"/>
        <w:jc w:val="center"/>
        <w:tblInd w:w="0" w:type="dxa"/>
        <w:tblLayout w:type="fixed"/>
        <w:tblCellMar>
          <w:top w:w="28" w:type="dxa"/>
          <w:left w:w="28" w:type="dxa"/>
          <w:bottom w:w="28" w:type="dxa"/>
          <w:right w:w="28" w:type="dxa"/>
        </w:tblCellMar>
      </w:tblPr>
      <w:tblGrid>
        <w:gridCol w:w="2300"/>
        <w:gridCol w:w="2435"/>
      </w:tblGrid>
      <w:tr>
        <w:trPr/>
        <w:tc>
          <w:tcPr>
            <w:tcW w:w="2300" w:type="dxa"/>
            <w:tcBorders>
              <w:top w:val="single" w:sz="8" w:space="0" w:color="000000"/>
              <w:left w:val="single" w:sz="8" w:space="0" w:color="000000"/>
              <w:bottom w:val="single" w:sz="8" w:space="0" w:color="000000"/>
              <w:right w:val="single" w:sz="8" w:space="0" w:color="000000"/>
            </w:tcBorders>
            <w:shd w:fill="E7E6E6" w:val="clear"/>
            <w:vAlign w:val="center"/>
          </w:tcPr>
          <w:p>
            <w:pPr>
              <w:pStyle w:val="TableContents"/>
              <w:bidi w:val="0"/>
              <w:spacing w:before="0" w:after="283"/>
              <w:ind w:left="0" w:right="0" w:hanging="0"/>
              <w:jc w:val="center"/>
              <w:rPr>
                <w:b/>
              </w:rPr>
            </w:pPr>
            <w:r>
              <w:rPr>
                <w:b/>
              </w:rPr>
              <w:t>Fiscal Quarter Ended</w:t>
            </w:r>
          </w:p>
        </w:tc>
        <w:tc>
          <w:tcPr>
            <w:tcW w:w="2435" w:type="dxa"/>
            <w:tcBorders>
              <w:top w:val="single" w:sz="8" w:space="0" w:color="000000"/>
              <w:bottom w:val="single" w:sz="8" w:space="0" w:color="000000"/>
              <w:right w:val="single" w:sz="8" w:space="0" w:color="000000"/>
            </w:tcBorders>
            <w:shd w:fill="E7E6E6" w:val="clear"/>
            <w:tcMar>
              <w:left w:w="0" w:type="dxa"/>
            </w:tcMar>
            <w:vAlign w:val="center"/>
          </w:tcPr>
          <w:p>
            <w:pPr>
              <w:pStyle w:val="TableContents"/>
              <w:bidi w:val="0"/>
              <w:spacing w:before="0" w:after="283"/>
              <w:ind w:left="0" w:right="0" w:hanging="0"/>
              <w:jc w:val="center"/>
              <w:rPr>
                <w:b/>
              </w:rPr>
            </w:pPr>
            <w:r>
              <w:rPr>
                <w:b/>
              </w:rPr>
              <w:t>Consolidated EBITDA</w:t>
            </w:r>
          </w:p>
        </w:tc>
      </w:tr>
      <w:tr>
        <w:trPr/>
        <w:tc>
          <w:tcPr>
            <w:tcW w:w="23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pPr>
            <w:r>
              <w:rPr/>
              <w:t>September 30, 2023</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$52,248,729.00</w:t>
            </w:r>
          </w:p>
        </w:tc>
      </w:tr>
      <w:tr>
        <w:trPr/>
        <w:tc>
          <w:tcPr>
            <w:tcW w:w="23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pPr>
            <w:r>
              <w:rPr/>
              <w:t>December 31, 2023</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$46,241,561.00</w:t>
            </w:r>
          </w:p>
        </w:tc>
      </w:tr>
      <w:tr>
        <w:trPr/>
        <w:tc>
          <w:tcPr>
            <w:tcW w:w="23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pPr>
            <w:r>
              <w:rPr/>
              <w:t>March 31, 2024</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$51,056,492.00</w:t>
            </w:r>
          </w:p>
        </w:tc>
      </w:tr>
      <w:tr>
        <w:trPr/>
        <w:tc>
          <w:tcPr>
            <w:tcW w:w="23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pPr>
            <w:r>
              <w:rPr/>
              <w:t>June 30, 2024</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$50,648,599.00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Funded Debt</w:t>
      </w:r>
      <w:r>
        <w:rPr>
          <w:rFonts w:ascii="Times New Roman;Times;Serif" w:hAnsi="Times New Roman;Times;Serif"/>
          <w:b w:val="false"/>
          <w:i w:val="false"/>
          <w:caps w:val="false"/>
          <w:smallCaps w:val="false"/>
          <w:sz w:val="20"/>
        </w:rPr>
        <w:t>” shall mean, as of any date of determination, Funded Debt of the Lead Borrower and its Restricted Subsidiaries on a Consolidated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shall mean, with respect to any Test Period, all interest expense (excluding amortization of debt discount and premium, but including the interest component under Capital Leases and synthetic leases, tax retention operating leases, off-balance sheet loans and similar off-balance sheet financing products) for such Test Period of the Lead Borrower and its Restricted Subsidiaries on a Consolidated basis, excluding any interest paid or payable with respect to discontinued operations and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upfront fees in connection with the issuance or amendment of Indebtedness and any agent fees and expenses in connection with the issuance or amendment of any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xml:space="preserve">” shall mean, with respect to any Test Period, the net income (excluding extraordinary losses and gains) of the Lead Borrower and its Restricted Subsidiaries on a Consolidated basis for such Test Period, all as determined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calculating Consolidated Net Income: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the net income of any Person that is not the Lead Borrower or a Restricted Subsidiary (including, without limitation, the net income of any joint venture investments), will be included only to the extent of the amount of cash dividends or cash distributions received by the Lead Borrower or a Restricted Subsidiary in respect thereof during such Test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t>fees and reasonable and documented out-of-pocket expenses incurred in connection with the negotiation, execution and delivery on the Closing Date of the Credit Documents and consummation on the Closing Date and the Acquisition Closing Date of the Transactions shall be excluded;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non-recurring transaction costs, fees, expenses and charges incurred in connection with Permitted Acquisitions, any other acquisitions, any Dispositions, any Equity Issuance or any issuance of Indebtedness (whether or not such transaction was completed), in each case, permitted hereunder shall be excluded;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(d)</w:t>
            </w:r>
          </w:p>
        </w:tc>
        <w:tc>
          <w:tcPr>
            <w:tcW w:w="9895" w:type="dxa"/>
            <w:tcBorders/>
            <w:vAlign w:val="center"/>
          </w:tcPr>
          <w:p>
            <w:pPr>
              <w:pStyle w:val="TableContents"/>
              <w:bidi w:val="0"/>
              <w:spacing w:before="0" w:after="283"/>
              <w:jc w:val="both"/>
              <w:rPr/>
            </w:pPr>
            <w:r>
              <w:rPr/>
              <w:t>non-cash deductions or charges attributable to purchase accounting adjustments made in accordance with GAAP shall be excluded;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(e)</w:t>
            </w:r>
          </w:p>
        </w:tc>
        <w:tc>
          <w:tcPr>
            <w:tcW w:w="9930" w:type="dxa"/>
            <w:tcBorders/>
            <w:vAlign w:val="center"/>
          </w:tcPr>
          <w:p>
            <w:pPr>
              <w:pStyle w:val="TableContents"/>
              <w:bidi w:val="0"/>
              <w:spacing w:before="0" w:after="283"/>
              <w:jc w:val="both"/>
              <w:rPr/>
            </w:pPr>
            <w:r>
              <w:rPr/>
              <w:t>non-cash charges incurred during such Test Period with respect to stock based compensation to employees and directors of the Lead Borrower and its Restricted Subsidiaries shall be excluded;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9983" w:type="dxa"/>
            <w:tcBorders/>
            <w:vAlign w:val="center"/>
          </w:tcPr>
          <w:p>
            <w:pPr>
              <w:pStyle w:val="TableContents"/>
              <w:bidi w:val="0"/>
              <w:spacing w:before="0" w:after="283"/>
              <w:jc w:val="both"/>
              <w:rPr/>
            </w:pPr>
            <w:r>
              <w:rPr/>
              <w:t>the amount of (i) any non-recurring restructuring charge, reserve, integration cost or other business optimization expense or cost that is deducted in such Test Period, including charges directly related to implementation of cost-savings initiatives (including, without limitation, severance, retention, signing bonuses, relocation, recruiting and other employee related costs) and (ii) extraordinary, unusual or non-recurring losses shall, in each case, be excluded;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(g)</w:t>
            </w:r>
          </w:p>
        </w:tc>
        <w:tc>
          <w:tcPr>
            <w:tcW w:w="9916" w:type="dxa"/>
            <w:tcBorders/>
            <w:vAlign w:val="center"/>
          </w:tcPr>
          <w:p>
            <w:pPr>
              <w:pStyle w:val="TableContents"/>
              <w:bidi w:val="0"/>
              <w:spacing w:before="0" w:after="283"/>
              <w:jc w:val="both"/>
              <w:rPr/>
            </w:pPr>
            <w:r>
              <w:rPr/>
              <w:t>any provision for the reduction in carrying value of assets (excluding depreciation and amortization expense but including deferred Tax assets) recorded in accordance with GAAP shall be excluded;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9"/>
        <w:gridCol w:w="9766"/>
      </w:tblGrid>
      <w:tr>
        <w:trPr/>
        <w:tc>
          <w:tcPr>
            <w:tcW w:w="5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(h)</w:t>
            </w:r>
          </w:p>
        </w:tc>
        <w:tc>
          <w:tcPr>
            <w:tcW w:w="9766" w:type="dxa"/>
            <w:tcBorders/>
            <w:vAlign w:val="center"/>
          </w:tcPr>
          <w:p>
            <w:pPr>
              <w:pStyle w:val="TableContents"/>
              <w:bidi w:val="0"/>
              <w:spacing w:before="0" w:after="283"/>
              <w:jc w:val="both"/>
              <w:rPr/>
            </w:pPr>
            <w:r>
              <w:rPr/>
              <w:t>any non-cash losses resulting from mark to market activity shall be excluded;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both"/>
              <w:rPr/>
            </w:pPr>
            <w:r>
              <w:rPr/>
              <w:t>the amount of any expenses, charges or losses for such Test Period that are covered by indemnification or other reimbursement provisions in connection with any Permitted Acquisition, any other acquisition, Investment, Restricted Payment, Equity Issuance, issuance of Indebtedness or Disposition, in each case, permitted hereunder, so long as the Lead Borrower has made a determination that a reasonable basis exists for indemnification or reimbursement and such amount is actually reimbursed within 365 days of such date of determination (it being understood that to the extent not actually received within such 365-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period, such proceeds shall be deducted in the applicable future periods when calculating Consolidated Net Income) shall be excluded;</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(j)</w:t>
            </w:r>
          </w:p>
        </w:tc>
        <w:tc>
          <w:tcPr>
            <w:tcW w:w="9985" w:type="dxa"/>
            <w:tcBorders/>
            <w:vAlign w:val="center"/>
          </w:tcPr>
          <w:p>
            <w:pPr>
              <w:pStyle w:val="TableContents"/>
              <w:bidi w:val="0"/>
              <w:spacing w:before="0" w:after="283"/>
              <w:jc w:val="both"/>
              <w:rPr/>
            </w:pPr>
            <w:r>
              <w:rPr/>
              <w:t>gains and losses from the sale or exchange of assets outside the ordinary course of business and gains and losses from early extinguishment of Indebtedness or Hedging Agreements of the Lead Borrower and its Restricted Subsidiaries shall be excluded;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2"/>
        <w:gridCol w:w="9841"/>
      </w:tblGrid>
      <w:tr>
        <w:trPr/>
        <w:tc>
          <w:tcPr>
            <w:tcW w:w="4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(k)</w:t>
            </w:r>
          </w:p>
        </w:tc>
        <w:tc>
          <w:tcPr>
            <w:tcW w:w="9841" w:type="dxa"/>
            <w:tcBorders/>
            <w:vAlign w:val="center"/>
          </w:tcPr>
          <w:p>
            <w:pPr>
              <w:pStyle w:val="TableContents"/>
              <w:bidi w:val="0"/>
              <w:spacing w:before="0" w:after="283"/>
              <w:jc w:val="both"/>
              <w:rPr/>
            </w:pPr>
            <w:r>
              <w:rPr/>
              <w:t>non-cash gains, charges and losses in respect of foreign currency exchange shall be excluded.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Assets</w:t>
      </w:r>
      <w:r>
        <w:rPr>
          <w:rFonts w:ascii="Times New Roman;Times;Serif" w:hAnsi="Times New Roman;Times;Serif"/>
          <w:b w:val="false"/>
          <w:i w:val="false"/>
          <w:caps w:val="false"/>
          <w:smallCaps w:val="false"/>
          <w:sz w:val="20"/>
        </w:rPr>
        <w:t>” shall mean, as of any date of determination, the amount that would be set forth opposite the caption “total assets” (or any like caption) in the most recent Consolidated balance sheet of the Lead Borrower and its Restricted Subsidiaries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Payments</w:t>
      </w:r>
      <w:r>
        <w:rPr>
          <w:rFonts w:ascii="Times New Roman;Times;Serif" w:hAnsi="Times New Roman;Times;Serif"/>
          <w:b w:val="false"/>
          <w:i w:val="false"/>
          <w:caps w:val="false"/>
          <w:smallCaps w:val="false"/>
          <w:sz w:val="20"/>
        </w:rPr>
        <w:t xml:space="preserve">” shall mean additional consideration to be paid by the Lead Borrower or any Restricted Subsidiary for any Registration that has been previously acquired or that may be acquired by any such Person, in each case, in accordance with the terms of this Agreement, that is payable out of a portion of net sales, net profits or other sales-based milestone with respect to the acquired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include any royalty payments or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shall mean, as to any Person, any provision of any security issued by such Person or of any contract, agreement, instrument or undertaking to which such Person is a party or by which it or any of its property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Contribution Indebtedness</w:t>
      </w:r>
      <w:r>
        <w:rPr>
          <w:rFonts w:ascii="Times New Roman;Times;Serif" w:hAnsi="Times New Roman;Times;Serif"/>
          <w:b w:val="false"/>
          <w:i w:val="false"/>
          <w:caps w:val="false"/>
          <w:smallCaps w:val="false"/>
          <w:sz w:val="20"/>
        </w:rPr>
        <w:t xml:space="preserve">” shall mean unsecured Indebtedness of the Lead Borrower or any other Credit Party in an amount equal to 100% of cash proceeds received after the Closing Date by the Lead Borrower in exchange for Qualified Equity Interests of the Lead Borrower (other than Specified Equity Contributions) to the extent such amounts shall not be counted for purposes of the Available Amount basket;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maturity date of any Contribution Indebtedness shall be no earlier than the Latest Maturity Date of any Class of Loans or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shall mean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shall have meanings correlative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Convertible Notes</w:t>
      </w:r>
      <w:r>
        <w:rPr>
          <w:rFonts w:ascii="Times New Roman;Times;Serif" w:hAnsi="Times New Roman;Times;Serif"/>
          <w:b w:val="false"/>
          <w:i w:val="false"/>
          <w:caps w:val="false"/>
          <w:smallCaps w:val="false"/>
          <w:sz w:val="20"/>
        </w:rPr>
        <w:t>” shall mean senior unsecured debt of the Lead Borrower in an aggregate principal amount of up to $316,250,000, in the form of 2.25% convertible senior notes due 2029, to be issued by the Lead Borrower on or about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Convertible Notes Indenture</w:t>
      </w:r>
      <w:r>
        <w:rPr>
          <w:rFonts w:ascii="Times New Roman;Times;Serif" w:hAnsi="Times New Roman;Times;Serif"/>
          <w:b w:val="false"/>
          <w:i w:val="false"/>
          <w:caps w:val="false"/>
          <w:smallCaps w:val="false"/>
          <w:sz w:val="20"/>
        </w:rPr>
        <w:t>” shall mean the indenture governing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Corresponding Tenor</w:t>
      </w:r>
      <w:r>
        <w:rPr>
          <w:rFonts w:ascii="Times New Roman;Times;Serif" w:hAnsi="Times New Roman;Times;Serif"/>
          <w:b w:val="false"/>
          <w:i w:val="false"/>
          <w:caps w:val="false"/>
          <w:smallCaps w:val="false"/>
          <w:sz w:val="20"/>
        </w:rPr>
        <w:t>” with respect to any Available Tenor shall mean, as applicable, either a tenor (including overnight) or an interest payment period having approximately the same length (disregarding business day adjustment) as such Available Tenor.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 Licenses</w:t>
      </w:r>
      <w:r>
        <w:rPr>
          <w:rFonts w:ascii="Times New Roman;Times;Serif" w:hAnsi="Times New Roman;Times;Serif"/>
          <w:b w:val="false"/>
          <w:i w:val="false"/>
          <w:caps w:val="false"/>
          <w:smallCaps w:val="false"/>
          <w:sz w:val="20"/>
        </w:rPr>
        <w:t>” shall mean any agreement, whether written or oral, providing for the grant by or to a Person of any right under any Copyright.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shall mean all copyrights in all Works, all registrations and recordings thereof, and all applications in connection therewith, including, without limitation, registrations, recordings and applications in the United States Copyright Office or in any similar office or agency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 thereof or any other country or any political subdivision thereof, or otherwise and all renewals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shall mean any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“covered entity” as that term is defined in, and interpreted in accordance with, 12 C.F.R. § 252.82(b);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“covered bank” as that term is defined in, and interpreted in accordance with, 12 C.F.R. § 47.3(b);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“covered FSI” as that term is defined in, and interpreted in accordance with, 12 C.F.R. § 382.2(b).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Agreement Refinancing Indebtedness</w:t>
      </w:r>
      <w:r>
        <w:rPr>
          <w:rFonts w:ascii="Times New Roman;Times;Serif" w:hAnsi="Times New Roman;Times;Serif"/>
          <w:b w:val="false"/>
          <w:i w:val="false"/>
          <w:caps w:val="false"/>
          <w:smallCaps w:val="false"/>
          <w:sz w:val="20"/>
        </w:rPr>
        <w:t>” shall mean Indebtedness in the form of (A) one or more new term loan facilities (each, a “</w:t>
      </w:r>
      <w:r>
        <w:rPr>
          <w:rFonts w:ascii="Times New Roman;Times;Serif" w:hAnsi="Times New Roman;Times;Serif"/>
          <w:b w:val="false"/>
          <w:i w:val="false"/>
          <w:caps w:val="false"/>
          <w:smallCaps w:val="false"/>
          <w:sz w:val="20"/>
          <w:u w:val="single"/>
        </w:rPr>
        <w:t>Refinancing Term Facility</w:t>
      </w:r>
      <w:r>
        <w:rPr>
          <w:rFonts w:ascii="Times New Roman;Times;Serif" w:hAnsi="Times New Roman;Times;Serif"/>
          <w:b w:val="false"/>
          <w:i w:val="false"/>
          <w:caps w:val="false"/>
          <w:smallCaps w:val="false"/>
          <w:sz w:val="20"/>
        </w:rPr>
        <w:t>”) and/or one or more revolving credit facilities (each, a “</w:t>
      </w:r>
      <w:r>
        <w:rPr>
          <w:rFonts w:ascii="Times New Roman;Times;Serif" w:hAnsi="Times New Roman;Times;Serif"/>
          <w:b w:val="false"/>
          <w:i w:val="false"/>
          <w:caps w:val="false"/>
          <w:smallCaps w:val="false"/>
          <w:sz w:val="20"/>
          <w:u w:val="single"/>
        </w:rPr>
        <w:t>Refinancing Revolving Facility</w:t>
      </w:r>
      <w:r>
        <w:rPr>
          <w:rFonts w:ascii="Times New Roman;Times;Serif" w:hAnsi="Times New Roman;Times;Serif"/>
          <w:b w:val="false"/>
          <w:i w:val="false"/>
          <w:caps w:val="false"/>
          <w:smallCaps w:val="false"/>
          <w:sz w:val="20"/>
        </w:rPr>
        <w:t xml:space="preserve">”) and/or (B) one or more additional series of senior unsecured notes or loans or senior secured notes or loans that will be (x) solely in the case of notes, secured by Liens that are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 xml:space="preserve">with the Liens securing the Loans (but without regard to the control of remedies), (y) secured on a junior lien or “silent” subordinated basis to the Liens securing the Loans and to the obligations under any senior secured notes described in the immediately preceding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or (z) unsecured (such notes or loans described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Refinancing Notes</w:t>
      </w:r>
      <w:r>
        <w:rPr>
          <w:rFonts w:ascii="Times New Roman;Times;Serif" w:hAnsi="Times New Roman;Times;Serif"/>
          <w:b w:val="false"/>
          <w:i w:val="false"/>
          <w:caps w:val="false"/>
          <w:smallCaps w:val="false"/>
          <w:sz w:val="20"/>
        </w:rPr>
        <w:t>”), incurred, issued or otherwise obtained in exchange for, or to extend, renew, replace or refinance, in whole or part, existing Term Loans, outstanding Revolving Loans or Revolving Commitments hereunder (including any successive Credit Agreement Refinancing Indebtedness) (“</w:t>
      </w:r>
      <w:r>
        <w:rPr>
          <w:rFonts w:ascii="Times New Roman;Times;Serif" w:hAnsi="Times New Roman;Times;Serif"/>
          <w:b w:val="false"/>
          <w:i w:val="false"/>
          <w:caps w:val="false"/>
          <w:smallCaps w:val="false"/>
          <w:sz w:val="20"/>
          <w:u w:val="single"/>
        </w:rPr>
        <w:t>Refinanced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Credit Agreement Refinancing Indebtedness (including, if such Credit Agreement Refinancing Indebtedness includes any Revolving Commitments, the unused portion of such Revolving Commitments) is in an original aggregate principal amount not greater than the aggregate principal amount of the Refinanced Debt (and, in the case of Refinanced Debt consisting, in whole or in part, of unused Revolving Commitments, the amount thereof),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fees, premiums, original issue discount, accrued interest and penalties associated therewith and fees, costs and expenses related thereto, (ii) such Credit Agreement Refinancing Indebtedness (x) does not mature earlier than the Latest Maturity Date of such Refinanced Debt and does not have a Weighted Average Life to Maturity shorter than the Weighted Average Life to Maturity applicable to such Refinanced Debt, (iii) such Credit Agreement Refinancing Indebtedness shall not be guaranteed by any Person that is not a Credit Party (unless such Person shall substantially concurrently become a Credit Party hereunder pursuant to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(iv) if secured, such Indebtedness (x) is not secured by any assets not securing the Obligations (unless such assets shall substantially concurrently become a part of the Collateral) and (y) is subject to a customary intercreditor agreement reasonably satisfactory to the Administrative Agent and the Lead Borrower, (v) the other terms and conditions (excluding pricing, interest rate margins, interest rate floors, discounts, fees, rate floors, premiums, maturity and prepayment or redemption terms), if not substantially consistent with the terms of such Refinanced Debt or are (taken as a whole) more favorable to the lenders or holders providing such Credit Agreement Refinancing Indebtedness, are as otherwise reasonably satisfactory to the Administrative Agent (it being understood that (A) terms not substantially consistent with such Refinanced Debt that are applicable only after the Latest Maturity Date at such time will be deemed to be satisfactory to the Administrative Agent, (B) terms contained in such Credit Agreement Refinancing Indebtedness that are, taken as a whole, more favorable to the lenders or the agent of such Credit Agreement Refinancing Indebtedness and are substantially concurrently conformed (or added) to the Credit Documents for the benefit of the lenders under such Refinanced Debt or the Administrative Agent, as applicable, will be deemed to be satisfactory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Administrative Agent and (C) terms contained in such Credit Agreement Refinancing Indebtedness that reflect then current market terms and conditions (taken as a whole) at the time of incurrence or issuance (as determined by the Lead Borrower in good faith) will be deemed to be satisfactory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that any financial maintenance covenant is added for the benefit of such Credit Agreement Refinancing Indebtedness, no consent shall be required from the Administrative Agent or any of the Lenders if such financial maintenance covenant is either (a) also added for the benefit of the Lenders under the Credit Documents or (b) only applicable after the Latest Maturity Date at such time), (vi) such Refinanced Debt shall be repaid, defeased or satisfied and discharged, and all accrued interest, fees and premiums (if any) in connection therewith shall be paid with the proceeds of, and substantially concurrently with the incurrence of, such Credit Agreement Refinancing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that such Refinanced Debt consists, in whole or in part, of Revolving Commitments or Other Revolving Commitments, (i) such Revolving Commitments shall be permanently reduced or terminated, as applicable, and all accrued fees in connection therewith shall be paid with the proceeds of, and substantially concurrently with the incurrence of, such Credit Agreement Refinancing Indebtedness and (ii) the Revolving Lenders under (x) the remaining outstanding Revolving Commitments and Revolving Loans and (y) such Credit Agreement Refinancing Indebtedness shall share on a pro rata basis in the payment, repayment, borrowing, participation and commitment reductions under such remaining outstanding Revolving Commitments and Revolving Loans and such Credit Agreement Refinancing Indebtedness, (vii) any Refinancing Revolving Facility shall not mature (or require permanent commitment reductions) prior to the Latest Maturity Date of any Refinanced Debt consisting, in whole or in part, of Revolving Commitments or Other Revolving Commitments, (viii) any Credit Agreement Refinancing Indebtedness that is (x)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 xml:space="preserve">with the Initial Term Loans in right of payment and with respect to security may provide for the ability to participate (1) on a pro rata basis, less than pro rata basis or greater than pro rata basis in any voluntary prepayments and (2) on a pro rata basis or less than pro rata basis (or greater than pro rata basis with respect to prepayments constituting permitted refinancings) in any mandatory prepayments, in each case, of the Term Loans and (y) junior to the Initial Term Loans in right of payment or with respect to security may provide for the ability to participate on a less than pro rata basis in any voluntary and/or mandatory prepayments of the Term Loans, but shall not be on a pro rata or greater than pro rata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unsecured Credit Agreement Refinancing Indebtedness shall not share in any voluntary or mandatory prepayments of the Term Loans and (ix) (x) if such Refinanced Debt was contractually subordinated to the Term Loans in right of payment or security, such Credit Agreement Refinancing Indebtedness shall be contractually subordinated to the Term Loans on terms that are substantially the same (in all material respects) (or, if junior secured, also may be unsecured) and (y) if such Refinanced Debt was unsecured, such Credit Agreement Refinancing Indebtedness shall be unsecured. In connection with the incurrence of any Credit Agreement Refinancing Indebtedness, the applicable Lenders shall assign their Loans and Commitments to lenders under the applicable Credit Agreement Refinancing Indebtedness as required by the Lead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Documents</w:t>
      </w:r>
      <w:r>
        <w:rPr>
          <w:rFonts w:ascii="Times New Roman;Times;Serif" w:hAnsi="Times New Roman;Times;Serif"/>
          <w:b w:val="false"/>
          <w:i w:val="false"/>
          <w:caps w:val="false"/>
          <w:smallCaps w:val="false"/>
          <w:sz w:val="20"/>
        </w:rPr>
        <w:t>” shall mean this Agreement, each of the Notes, any Joinder Agreement, the Letters of Credit, LOC Documents and the Security Documents and all other agreements, documents, certificates and instruments delivered to the Administrative Agent or any Lender by any Credit Party in connection therewith (other than any Hedging Agreement or agreement, document, certificate or instrument related to a Bank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shall mean any of the Borrowers or any of the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 Obligations</w:t>
      </w:r>
      <w:r>
        <w:rPr>
          <w:rFonts w:ascii="Times New Roman;Times;Serif" w:hAnsi="Times New Roman;Times;Serif"/>
          <w:b w:val="false"/>
          <w:i w:val="false"/>
          <w:caps w:val="false"/>
          <w:smallCaps w:val="false"/>
          <w:sz w:val="20"/>
        </w:rPr>
        <w:t>” shall mean, without duplication, (a) the Obligations and (b) for purposes of the Guaranty, the Security Documents and all provisions under the other Credit Documents relating to the Collateral, the sharing thereof and/or payments from proceeds of the Collateral, all Bank Product Debt, but in all cases excluding Excluded Swap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Cure Expiration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5.9(c)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shall mean,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per annum equal to SOFR for the day (such day, a “</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Lead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Issuance</w:t>
      </w:r>
      <w:r>
        <w:rPr>
          <w:rFonts w:ascii="Times New Roman;Times;Serif" w:hAnsi="Times New Roman;Times;Serif"/>
          <w:b w:val="false"/>
          <w:i w:val="false"/>
          <w:caps w:val="false"/>
          <w:smallCaps w:val="false"/>
          <w:sz w:val="20"/>
        </w:rPr>
        <w:t>” shall mean the issuance of any Indebtedness by the Lead Borrower or any of its Restricted Subsidiaries (excluding any Equity Issuance or any Indebtedness of the Lead Borrower or any Restricted Subsidiary permitted to be incurred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xml:space="preserve">” shall mean any of the events specified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whether or not any requirement for the giving of notice or the lapse of time, or both or any other condition, has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xml:space="preserve">” shall mean (a) when used with respect to the Obligations, other than Letter of Credit Fees, an interest rate equal to (i) for ABR Loans (A) the Alternate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Applicable Margin applicable to ABR Loans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(C) 2.00% per annum and (ii) for Term Benchmark Loans, (A) Adjusted Term SOFR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Applicable Margin applicable to Term Benchmark Loans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(C) 2.00% per annum, (b) when used with respect to Letter of Credit Fees, a rate equal to the Applicable Margin applicable to Letter of Credit Fees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2.00% per annum and (c) when used with respect to any other fee or amount due hereunder, a rate equal to (A) the Alternate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Applicable Margin applicable to ABR Loans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(C) 2.00%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shall mean, subject to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 any Lender that, (a) has failed to (i) fund all or any portion of its Loans within two (2) Business Days of the date such Loans were required to be funded hereunder unless such Lender notifies the Administrative Agent and the Lead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any Swingline Lender or any other Lender any other amount required to be paid by it hereunder (including in respect of its participation in Letters of Credit or Swingline Loans) within two (2) Business Days of the date when due, (b) has notified the Lead Borrower, the Administrative Agent or any Issuing Lender or Swingline Lender in writing that it does not intend to comply with its funding obligations hereunder, or has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Lead Borrower, to confirm in writing to the Administrative Agent and the Lead Borrower that it will comply with its prospective funding obligations hereunder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such Lender shall cease to be a Defaulting Lender pursuant to this clause (c) upon receipt of such written confirmation by the Administrative Agent and the Lead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 upon delivery of written notice of such determination to the Lead Borrower, each Issuing Lender, each Swingline Lender and each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Non-Cash Consideration</w:t>
      </w:r>
      <w:r>
        <w:rPr>
          <w:rFonts w:ascii="Times New Roman;Times;Serif" w:hAnsi="Times New Roman;Times;Serif"/>
          <w:b w:val="false"/>
          <w:i w:val="false"/>
          <w:caps w:val="false"/>
          <w:smallCaps w:val="false"/>
          <w:sz w:val="20"/>
        </w:rPr>
        <w:t xml:space="preserve">” shall mean the Fair Market Value of non-cash consideration received by the Lead Borrower or a Restricted Subsidiary in connection with a Disposition pursuant to </w:t>
      </w:r>
      <w:r>
        <w:rPr>
          <w:rFonts w:ascii="Times New Roman;Times;Serif" w:hAnsi="Times New Roman;Times;Serif"/>
          <w:b w:val="false"/>
          <w:i w:val="false"/>
          <w:caps w:val="false"/>
          <w:smallCaps w:val="false"/>
          <w:sz w:val="20"/>
          <w:u w:val="single"/>
        </w:rPr>
        <w:t>Section 6.4(a)(xi)</w:t>
      </w:r>
      <w:r>
        <w:rPr>
          <w:rFonts w:ascii="Times New Roman;Times;Serif" w:hAnsi="Times New Roman;Times;Serif"/>
          <w:b w:val="false"/>
          <w:i w:val="false"/>
          <w:caps w:val="false"/>
          <w:smallCaps w:val="false"/>
          <w:sz w:val="20"/>
        </w:rPr>
        <w:t xml:space="preserve"> that is designated as Designated Non-Cash Consideration pursuant to a certificate of a Responsible Officer of the Lead Borrower, setting forth the basis of such valuation (which amount will be reduced by the Fair Market Value of the portion of the non-cash consideration converted to cash within 180 days following the consummation of the applicable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shall mean, with respect to any Person, a dissolution, liquidation or winding up of its affairs, or sale, transfer, lease or disposition of its property or assets. For purposes of clarification, the issuance, sale, assignment, transfer or other disposition by any Person of Equity Interests in itself (or rights with respect thereto) will not be deemed a Disposition by such Person. For the avoidance of doubt, none of (w) the issuance or sale of any Convertible Notes by the Lead Borrower, (x) the sale of any Permitted Warrant Transaction by the Lead Borrower, (y) the purchase or early termination or unwind (whether pursuant to its terms or otherwise) of any Permitted Bond Hedge Transaction or (z) the performance by the Lead Borrower and/or any of its Subsidiaries of the Lead Borrower’s or such Subsidiary’s obligations under any Convertible Notes, any Permitted Warrant Transaction or any Permitted Bond Hedge Transaction, shall constitute a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Equity Interest</w:t>
      </w:r>
      <w:r>
        <w:rPr>
          <w:rFonts w:ascii="Times New Roman;Times;Serif" w:hAnsi="Times New Roman;Times;Serif"/>
          <w:b w:val="false"/>
          <w:i w:val="false"/>
          <w:caps w:val="false"/>
          <w:smallCaps w:val="false"/>
          <w:sz w:val="20"/>
        </w:rPr>
        <w:t>” shall mean, with respect to any Person, any Equity Interest issued by such Person that by its terms (or by the terms of any security into which it is convertible or for which it is exchangeable) either mandatorily or at the option of the holder thereof or upon the happening of any event or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matures or is mandatorily redeemable (other than (i) solely for Equity Interests issued by such Person that do not constitute Disqualified Equity Interests and cash in lieu of fractional shares of such Equity Interests and (ii) to the extent such Equity Interests become mandatorily redeemable following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providing notice of an optional redemption), whether pursuant to a sinking fund obligation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 convertible into or exchangeable (unless at the sole option of the issuer thereof) for Indebtedness or Equity Interests (other than solely for Equity Interests issued by such Person that do not constitute Disqualified Equity Interests and cash in lieu of fractional shares of such Equity Interests);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 redeemable or is required to be repurchased by such Person, in whole or in part, at the option of the holder thereof (in each case other than solely for Equity Interests issued by such Person that do not constitute Disqualified Equity Interests and cash in lieu of fractional shares of such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on or prior to the date 91 days after the Latest Maturity Date (determined at the time of the issuance of such Equity Interests);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 Equity Interest issued by any Person that would not constitute a Disqualified Equity Interest but for terms thereof giving holders thereof the right to require such Person to redeem or purchase such Equity Interest upon the occurrence of an “asset sale” or a “change of control” shall not constitute a Disqualified Equity Interest if the payment upon such redemption or repurchase is contractually subordinated in right of payment to the Obligations or such Equity Interest provides that the issuer thereof will not redeem any such Equity Interest pursuant to such provisions prior to the Latest Maturity Date or any such requirement is subject to the prior occurrence of the Latest Maturity Date, (ii) if an Equity Interest issued by any Person is issued pursuant to any plan for the benefit of employees, officers, directors, managers, members of management or consultants of the Lead Borrower or any of its Subsidiaries or by any such plan to such Persons, such Equity Interest shall not constitute a Disqualified Equity Interest solely because it may be required to be repurchased by the Lead Borrower or any of its Subsidiaries in order to satisfy applicable statutory or regulatory obligations of such Person and (iii) no Equity Interest held by any future, present or former employee, officer, director, manager, member of management or consultant (or their respective Affiliates or immediate family members) of the Lead Borrower or any of its Subsidiaries shall be considered a Disqualified Equity Interest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Lenders</w:t>
      </w:r>
      <w:r>
        <w:rPr>
          <w:rFonts w:ascii="Times New Roman;Times;Serif" w:hAnsi="Times New Roman;Times;Serif"/>
          <w:b w:val="false"/>
          <w:i w:val="false"/>
          <w:caps w:val="false"/>
          <w:smallCaps w:val="false"/>
          <w:sz w:val="20"/>
        </w:rPr>
        <w:t xml:space="preserve">” shall mean (i) any Person designated by the Lead Borrower as a “Disqualified Lender” by written notice delivered to the Administrative Agent on or prior to the date hereof, (ii) those Persons who are Competitors identified in writing by the Lead Borrower to the Administrative Agent from time to time and (iii) any subsidiaries or Affiliates of any Person so designated or identified pursuant to clause (i) or (ii) above (other than Affiliates that are bona fide debt funds or fixed income investors that are engaged in making or purchasing commercial loans in the ordinary course of business that would not be a Competitor or other Disqualified Lender but for this clause (iii)) that are either (x) separately identified in writing by the Lead Borrower from time to time or (y) clearly identifiable on the basis of similarity of such subsidiary’s or Affiliate’s name;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additional designation, modification or deletion permitted by the foregoing shall not apply (x) retroactively to any prior assignment to any Lender or Participant and (y) until three Business Days following receipt of such list by the Administrative Agent from the Lead Borrower. For the purposes of clauses (ii) and (iii) above and the final sentence of this definition, such list and updates shall be made available to the Administrative Agent via email to JPMDQ_Contact@jpmorgan.com. The Disqualified Lenders shall be identified to the Lenders by the Administrative Agent (which may be in the form of notice posted to the Platform). Disqualified Lenders shall exclude any Person that the Lead Borrower has designated as no longer being a “Disqualified Lender” by written notice delivered to the Administrative Agent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shall mean dollars in lawful currency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shall mean any Subsidiary that is organized and existing under the laws of the United States or any state or commonwealth thereof or under the laws of the District of Columbia.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shall mean any of the member states of the European Union, Iceland, Liechtenstein, and Norway.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shall mean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xml:space="preserve">” shall mean any Person that meets the requirements to be an assignee under </w:t>
      </w:r>
      <w:r>
        <w:rPr>
          <w:rFonts w:ascii="Times New Roman;Times;Serif" w:hAnsi="Times New Roman;Times;Serif"/>
          <w:b w:val="false"/>
          <w:i w:val="false"/>
          <w:caps w:val="false"/>
          <w:smallCaps w:val="false"/>
          <w:sz w:val="20"/>
          <w:u w:val="single"/>
        </w:rPr>
        <w:t>Sections 9.6(b)(iii)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(subject to such consents, if any, as may be required under </w:t>
      </w:r>
      <w:r>
        <w:rPr>
          <w:rFonts w:ascii="Times New Roman;Times;Serif" w:hAnsi="Times New Roman;Times;Serif"/>
          <w:b w:val="false"/>
          <w:i w:val="false"/>
          <w:caps w:val="false"/>
          <w:smallCaps w:val="false"/>
          <w:sz w:val="20"/>
          <w:u w:val="single"/>
        </w:rPr>
        <w:t>Section 9.6(b)(iii)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Equity Proceeds</w:t>
      </w:r>
      <w:r>
        <w:rPr>
          <w:rFonts w:ascii="Times New Roman;Times;Serif" w:hAnsi="Times New Roman;Times;Serif"/>
          <w:b w:val="false"/>
          <w:i w:val="false"/>
          <w:caps w:val="false"/>
          <w:smallCaps w:val="false"/>
          <w:sz w:val="20"/>
        </w:rPr>
        <w:t>” shall mean the Net Cash Proceeds from the sale or issuance of any Qualified Equity Interests of the Lead Borrower or from any capital contributions in respect of Qualified Equity Interests of the Lead Borrower to the extent such Net Cash Proceeds or capital contributions are directly or indirectly contributed to, and actually received by, the Lead Borrower (excluding, for the avoidance of doubt, any Specified Equity Contributions or any equity proceeds used to incur Contribution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shall mean any and all applicable foreign, federal, state, local or municipal laws, rules, orders, regulations, statutes, ordinances, codes, decrees, requirements of any Governmental Authority or other Requirement of Law (including common law) regulating, relating to or imposing liability or standards of conduct concerning protection of human health as it relates to Materials of Environmental Concern or the environment, as now or may at any time be in effect during the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shall mean (a) in the case of a corporation, capital stock, (b) in the case of an association or business entity, any and all shares, interests, participations, rights or other equivalents (however designated) of capital stock, (c) in the case of a partnership, partnership interests (whether general, preferred or limited), (d) in the case of a limited liability company, membership interests and (e) any other interest or participation that confers or could confer on a Person the right to receive a share of the profits and losses of, or distributions of assets of, the issuing Person, without limitation, options, warrants and any other “equity security” as defined in Rule 3a11-1 of the Exchange Act. The term “</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shall not include (i) any Indebtedness that is convertible into any such Equity Interests described above, (ii) the Convertible Notes, (iii) any Permitted Bond Hedge Transaction or (iv) any Permitted Warrant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Issuance</w:t>
      </w:r>
      <w:r>
        <w:rPr>
          <w:rFonts w:ascii="Times New Roman;Times;Serif" w:hAnsi="Times New Roman;Times;Serif"/>
          <w:b w:val="false"/>
          <w:i w:val="false"/>
          <w:caps w:val="false"/>
          <w:smallCaps w:val="false"/>
          <w:sz w:val="20"/>
        </w:rPr>
        <w:t>” shall mean any issuance by the Lead Borrower to any Person which is not the Lead Borrower or a Restricted Subsidiary of (a) shares or interests of its Equity Interests, (b) its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 pursuant to the exercise of options or warrants or similar rights, (c) any shares or interests of its Equity Interests pursuant to the conversion of any debt securities to equity or (d) warrants or options or similar rights that are exercisable or convertible into shares or interests of its Equity Interests. The term “Equity Issuance” shall not include (i) any Equity Interests issued as consideration for a Permitted Acquisition for which there are no net cash proceeds, (ii) any Disposition, (iii) any Debt Issuance or (iv) any Permitted Bond Hedge Transaction or Permitted Warrant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shall mean the Employee Retirement Income Security Act of 1974,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Plan</w:t>
      </w:r>
      <w:r>
        <w:rPr>
          <w:rFonts w:ascii="Times New Roman;Times;Serif" w:hAnsi="Times New Roman;Times;Serif"/>
          <w:b w:val="false"/>
          <w:i w:val="false"/>
          <w:caps w:val="false"/>
          <w:smallCaps w:val="false"/>
          <w:sz w:val="20"/>
        </w:rPr>
        <w:t xml:space="preserve">” shall mean, as of any date of determination, any employee benefit plan which is covered by Title IV of ERISA and in respect of which the Lead Borrower or any Restricted Subsidiary or a Commonly Controlled Entity is (or, if such plan were terminated at such time, would under </w:t>
      </w:r>
      <w:r>
        <w:rPr>
          <w:rFonts w:ascii="Times New Roman;Times;Serif" w:hAnsi="Times New Roman;Times;Serif"/>
          <w:b w:val="false"/>
          <w:i w:val="false"/>
          <w:caps w:val="false"/>
          <w:smallCaps w:val="false"/>
          <w:sz w:val="20"/>
          <w:u w:val="single"/>
        </w:rPr>
        <w:t>Section 4069</w:t>
      </w:r>
      <w:r>
        <w:rPr>
          <w:rFonts w:ascii="Times New Roman;Times;Serif" w:hAnsi="Times New Roman;Times;Serif"/>
          <w:b w:val="false"/>
          <w:i w:val="false"/>
          <w:caps w:val="false"/>
          <w:smallCaps w:val="false"/>
          <w:sz w:val="20"/>
        </w:rPr>
        <w:t xml:space="preserve"> of ERISA be deemed to be) an “employer” as defined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has the meaning set forth in Section 8.20(a).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Deficiency Assignment</w:t>
      </w:r>
      <w:r>
        <w:rPr>
          <w:rFonts w:ascii="Times New Roman;Times;Serif" w:hAnsi="Times New Roman;Times;Serif"/>
          <w:b w:val="false"/>
          <w:i w:val="false"/>
          <w:caps w:val="false"/>
          <w:smallCaps w:val="false"/>
          <w:sz w:val="20"/>
        </w:rPr>
        <w:t>” has the meaning set forth in Section 8.20(d)(i). “Erroneous Payment Impacted Class” has the meaning set forth in Section 8.20(d)(i).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Return Deficiency</w:t>
      </w:r>
      <w:r>
        <w:rPr>
          <w:rFonts w:ascii="Times New Roman;Times;Serif" w:hAnsi="Times New Roman;Times;Serif"/>
          <w:b w:val="false"/>
          <w:i w:val="false"/>
          <w:caps w:val="false"/>
          <w:smallCaps w:val="false"/>
          <w:sz w:val="20"/>
        </w:rPr>
        <w:t>” has the meaning set forth in Section 8.20(d).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shall mean the EU Bail-In Legislation Schedule published by the Loan Market Association (or any successor person),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shall mean any of the events specified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requirement for the giving of notice or the lapse of time, or both, or any other condition, has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Subsidiary</w:t>
      </w:r>
      <w:r>
        <w:rPr>
          <w:rFonts w:ascii="Times New Roman;Times;Serif" w:hAnsi="Times New Roman;Times;Serif"/>
          <w:b w:val="false"/>
          <w:i w:val="false"/>
          <w:caps w:val="false"/>
          <w:smallCaps w:val="false"/>
          <w:sz w:val="20"/>
        </w:rPr>
        <w:t xml:space="preserve">” shall mean (a) subject to </w:t>
      </w:r>
      <w:r>
        <w:rPr>
          <w:rFonts w:ascii="Times New Roman;Times;Serif" w:hAnsi="Times New Roman;Times;Serif"/>
          <w:b w:val="false"/>
          <w:i w:val="false"/>
          <w:caps w:val="false"/>
          <w:smallCaps w:val="false"/>
          <w:sz w:val="20"/>
          <w:u w:val="single"/>
        </w:rPr>
        <w:t>Section 8.11(b)</w:t>
      </w:r>
      <w:r>
        <w:rPr>
          <w:rFonts w:ascii="Times New Roman;Times;Serif" w:hAnsi="Times New Roman;Times;Serif"/>
          <w:b w:val="false"/>
          <w:i w:val="false"/>
          <w:caps w:val="false"/>
          <w:smallCaps w:val="false"/>
          <w:sz w:val="20"/>
        </w:rPr>
        <w:t>, any Subsidiary that is not a Wholly Owned Subsidiary of the Lead Borrower on the Closing Date or, if later, the date such non-Wholly Owned Subsidiary first becomes a Restricted Subsidiary, in each case, for so long as such Subsidiary is not a Wholly Owned Subsidiary, (b) any Subsidiary to the extent the provision of the Guaranty could reasonably be expected to result in material adverse tax consequences to the Lead Borrower or to any of its direct or indirect owners, as determined in good faith by the Lead Borrower with the Administrative Agent, (c) any Subsidiary that is prohibited by applicable law, rule, regulation or by any Contractual Obligations existing on the Closing Date (or, if acquired after the Closing Date and so long as such prohibition is not incurred in contemplation of such acquisition, the date such Subsidiary is acquired) from guaranteeing the Credit Party Obligations or which would require Governmental Authority (including regulatory) consent, approval, license, authorization or prior notice to provide the Guaranty unless such consent, approval, license or authorization has been received or such notice has been provided and any waiting period applicable to such notice has expired without adverse action by the applicable regulatory authority (it being understood that there shall be no obligation to obtain such consent, approval, license or authorization or provide such notice), (d) any not-for-profit subsidiaries, (e) any captive insurance companies, (f) any Subsidiary that is a CFC, (g) any Subsidiary of a CFC, (h) any FSHCO, (i) any Immaterial Subsidiary, (j) any Unrestricted Subsidiary, and (k) any other Subsidiary if the Lead Borrower and the Administrative Agent reasonably determine the cost and/or burden of obtaining the Guaranty from such Subsidiary outweigh the benefit to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Swap Obligation</w:t>
      </w:r>
      <w:r>
        <w:rPr>
          <w:rFonts w:ascii="Times New Roman;Times;Serif" w:hAnsi="Times New Roman;Times;Serif"/>
          <w:b w:val="false"/>
          <w:i w:val="false"/>
          <w:caps w:val="false"/>
          <w:smallCaps w:val="false"/>
          <w:sz w:val="20"/>
        </w:rPr>
        <w:t>” shall mean,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Lead Borrower under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2.16(g)</w:t>
      </w:r>
      <w:r>
        <w:rPr>
          <w:rFonts w:ascii="Times New Roman;Times;Serif" w:hAnsi="Times New Roman;Times;Serif"/>
          <w:b w:val="false"/>
          <w:i w:val="false"/>
          <w:caps w:val="false"/>
          <w:smallCaps w:val="false"/>
          <w:sz w:val="20"/>
        </w:rPr>
        <w:t xml:space="preserve"> and (d) any U.S. federal withholding Taxes imposed under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Revolver Borrowing</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Term Loan Borrowing</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Loans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Revolving Commitments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Revolving Loans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Term Loans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Extending Revolving Lender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Extending Term Lender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w:t>
      </w:r>
      <w:r>
        <w:rPr>
          <w:rFonts w:ascii="Times New Roman;Times;Serif" w:hAnsi="Times New Roman;Times;Serif"/>
          <w:b w:val="false"/>
          <w:i w:val="false"/>
          <w:caps w:val="false"/>
          <w:smallCaps w:val="false"/>
          <w:sz w:val="20"/>
        </w:rPr>
        <w:t xml:space="preserve">” shall mean the establishment of Extended Loans by amending Loans and/or Commitments pursuant to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Amendment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Election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of Credit</w:t>
      </w:r>
      <w:r>
        <w:rPr>
          <w:rFonts w:ascii="Times New Roman;Times;Serif" w:hAnsi="Times New Roman;Times;Serif"/>
          <w:b w:val="false"/>
          <w:i w:val="false"/>
          <w:caps w:val="false"/>
          <w:smallCaps w:val="false"/>
          <w:sz w:val="20"/>
        </w:rPr>
        <w:t>” shall mean, as to any Lender, the making of a Loan by such Lender, any conversion of a Loan from one Type to another Type, any extension of any Loan or the issuance, extension or renewal of a Letter of Credit or Swingline Loan by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Minimum Condition</w:t>
      </w:r>
      <w:r>
        <w:rPr>
          <w:rFonts w:ascii="Times New Roman;Times;Serif" w:hAnsi="Times New Roman;Times;Serif"/>
          <w:b w:val="false"/>
          <w:i w:val="false"/>
          <w:caps w:val="false"/>
          <w:smallCaps w:val="false"/>
          <w:sz w:val="20"/>
        </w:rPr>
        <w:t>” shall mean a condition to consummating any Extension that a minimum amount (to be determined and specified in the relevant Revolver Extension Request or Term Loan Extension Request (as applicable), in the Lead Borrower’s sole discretion) of any or all applicable Classes be submitted for Extension.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Request</w:t>
      </w:r>
      <w:r>
        <w:rPr>
          <w:rFonts w:ascii="Times New Roman;Times;Serif" w:hAnsi="Times New Roman;Times;Serif"/>
          <w:b w:val="false"/>
          <w:i w:val="false"/>
          <w:caps w:val="false"/>
          <w:smallCaps w:val="false"/>
          <w:sz w:val="20"/>
        </w:rPr>
        <w:t>” shall mean a Revolver Extension Request or Term Loan Extension Request,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Extraordinary Receipt</w:t>
      </w:r>
      <w:r>
        <w:rPr>
          <w:rFonts w:ascii="Times New Roman;Times;Serif" w:hAnsi="Times New Roman;Times;Serif"/>
          <w:b w:val="false"/>
          <w:i w:val="false"/>
          <w:caps w:val="false"/>
          <w:smallCaps w:val="false"/>
          <w:sz w:val="20"/>
        </w:rPr>
        <w:t>” shall mean (a) the sum of any cash received by or paid to or for the account of any Person not in the ordinary course of business for casualty, condemnation or similar event, insurance proceeds, condemnation awards and similar payments, minus (b) the sum of all fees, costs, expenses and other indemnity payments paid or payable by the Lead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professional and transactional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shall mean, with respect to any property, assets or obligations, the fair market value thereof as reasonably determined by the Lead Borrower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xml:space="preserve">” shall mean </w:t>
      </w:r>
      <w:r>
        <w:rPr>
          <w:rFonts w:ascii="Times New Roman;Times;Serif" w:hAnsi="Times New Roman;Times;Serif"/>
          <w:b w:val="false"/>
          <w:i w:val="false"/>
          <w:caps w:val="false"/>
          <w:smallCaps w:val="false"/>
          <w:sz w:val="20"/>
          <w:u w:val="single"/>
        </w:rPr>
        <w:t>Sections 1471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1474</w:t>
      </w:r>
      <w:r>
        <w:rPr>
          <w:rFonts w:ascii="Times New Roman;Times;Serif" w:hAnsi="Times New Roman;Times;Serif"/>
          <w:b w:val="false"/>
          <w:i w:val="false"/>
          <w:caps w:val="false"/>
          <w:smallCaps w:val="false"/>
          <w:sz w:val="20"/>
        </w:rPr>
        <w:t xml:space="preserve"> of the Code, as of the date of this Agreement (or any amended or successor version that is substantively comparable and not materially more onerous to comply with), any current or future regulations or official interpretations thereof, any agreements entered into pursuant to </w:t>
      </w:r>
      <w:r>
        <w:rPr>
          <w:rFonts w:ascii="Times New Roman;Times;Serif" w:hAnsi="Times New Roman;Times;Serif"/>
          <w:b w:val="false"/>
          <w:i w:val="false"/>
          <w:caps w:val="false"/>
          <w:smallCaps w:val="false"/>
          <w:sz w:val="20"/>
          <w:u w:val="single"/>
        </w:rPr>
        <w:t>Section 1471(b)(1)</w:t>
      </w:r>
      <w:r>
        <w:rPr>
          <w:rFonts w:ascii="Times New Roman;Times;Serif" w:hAnsi="Times New Roman;Times;Serif"/>
          <w:b w:val="false"/>
          <w:i w:val="false"/>
          <w:caps w:val="false"/>
          <w:smallCaps w:val="false"/>
          <w:sz w:val="20"/>
        </w:rPr>
        <w:t xml:space="preserve">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shall mean the United States Food and Drug Administration and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xml:space="preserve">” shall mean,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Federal Funds Effective Rate shall be less than zero, such rate shall be deemed to be zero for the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Reserve Board</w:t>
      </w:r>
      <w:r>
        <w:rPr>
          <w:rFonts w:ascii="Times New Roman;Times;Serif" w:hAnsi="Times New Roman;Times;Serif"/>
          <w:b w:val="false"/>
          <w:i w:val="false"/>
          <w:caps w:val="false"/>
          <w:smallCaps w:val="false"/>
          <w:sz w:val="20"/>
        </w:rPr>
        <w:t>” shall mean the Board of Governors of the Federal Reserve System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shall mean the fee letter, dated August 13, 2024, between the Lead Borrower and JPMorgan Chase Bank, N.A., as amended, restated, amended and restated, extended, replaced,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Lien Net Leverage Ratio</w:t>
      </w:r>
      <w:r>
        <w:rPr>
          <w:rFonts w:ascii="Times New Roman;Times;Serif" w:hAnsi="Times New Roman;Times;Serif"/>
          <w:b w:val="false"/>
          <w:i w:val="false"/>
          <w:caps w:val="false"/>
          <w:smallCaps w:val="false"/>
          <w:sz w:val="20"/>
        </w:rPr>
        <w:t>” shall mean, as of any date of determination, for the Lead Borrower and its Restricted Subsidiaries on a Consolidated basis, the ratio of (a) Consolidated Funded Debt on such date that is secured by Liens on any assets of the Lead Borrower or any of its Restricted Subsidiaries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 Liens that are expressly subordinated to the Liens securing the Credit Party Obligations (net of Unrestricted Cash in an aggregate amount of up to $100,000,000) to (b) Consolidated EBITDA for the most recently ended Test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Basket</w:t>
      </w:r>
      <w:r>
        <w:rPr>
          <w:rFonts w:ascii="Times New Roman;Times;Serif" w:hAnsi="Times New Roman;Times;Serif"/>
          <w:b w:val="false"/>
          <w:i w:val="false"/>
          <w:caps w:val="false"/>
          <w:smallCaps w:val="false"/>
          <w:sz w:val="20"/>
        </w:rPr>
        <w:t>” shall mean any category of exceptions, thresholds, baskets, or other provisions in this Agreement based on a fixed dollar amount and/or percentage of Consolidated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shall mean, with respect to any Benchmark, 0.00%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shall mean a Lender that is not a U.S.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shall mean any Subsidiary that is not a Domestic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Fronting Exposure</w:t>
      </w:r>
      <w:r>
        <w:rPr>
          <w:rFonts w:ascii="Times New Roman;Times;Serif" w:hAnsi="Times New Roman;Times;Serif"/>
          <w:b w:val="false"/>
          <w:i w:val="false"/>
          <w:caps w:val="false"/>
          <w:smallCaps w:val="false"/>
          <w:sz w:val="20"/>
        </w:rPr>
        <w:t>” shall mean, at any time there is a Defaulting Lender, (a) with respect to any Issuing Lender, such Defaulting Lender’s Applicable Percentage of the outstanding LOC Obligations with respect to Letters of Credit issued by such Issuing Lender other than LOC Obligations as to which such Defaulting Lender’s participation obligation has been reallocated to other Lenders or Cash Collateralized in accordance with the terms hereof, and (b) with respect to any Swingline Lender, such Defaulting Lender’s Applicable Percentage of outstanding Swingline Loans made by such Swingline Lender other than Swingline Loans as to which such Defaulting Lender’s participation obligation has been reallocated to other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FSHCO</w:t>
      </w:r>
      <w:r>
        <w:rPr>
          <w:rFonts w:ascii="Times New Roman;Times;Serif" w:hAnsi="Times New Roman;Times;Serif"/>
          <w:b w:val="false"/>
          <w:i w:val="false"/>
          <w:caps w:val="false"/>
          <w:smallCaps w:val="false"/>
          <w:sz w:val="20"/>
        </w:rPr>
        <w:t>” shall mean any Domestic Subsidiary substantially all of the assets of which are capital stock of one or more CFCs but only so long as such Domestic Subsidiary does not guarantee any indebtedness of any “United States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w:t>
      </w:r>
      <w:r>
        <w:rPr>
          <w:rFonts w:ascii="Times New Roman;Times;Serif" w:hAnsi="Times New Roman;Times;Serif"/>
          <w:b w:val="false"/>
          <w:i w:val="false"/>
          <w:caps w:val="false"/>
          <w:smallCaps w:val="false"/>
          <w:sz w:val="20"/>
        </w:rPr>
        <w:t>” shall mean any Person (other than a natural person) that is engaged in making, purchasing, holding or otherwise investing in commercial loans, bonds and similar extensions of credit in the ordinary course of its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Funded Debt</w:t>
      </w:r>
      <w:r>
        <w:rPr>
          <w:rFonts w:ascii="Times New Roman;Times;Serif" w:hAnsi="Times New Roman;Times;Serif"/>
          <w:b w:val="false"/>
          <w:i w:val="false"/>
          <w:caps w:val="false"/>
          <w:smallCaps w:val="false"/>
          <w:sz w:val="20"/>
        </w:rPr>
        <w:t>” shall mean, with respect to any Person, without duplication, all Indebtedness of such Person set forth in clauses (a) (excluding any such Indebtedness owed to the Lead Borrower or any of its Restricted Subsidiaries), (b) (excluding any such Indebtedness owed to the Lead Borrower or any of its Restricted Subsidiaries), (h) and, to the extent drawn and not cash collateralized or reimbursed, (j) of the definition of “Indebtedness” and all purchase money Indebtedness (including all unconditional Guaranty Obligations of such Person with respect to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shall mean generally accepted accounting principles in effect in the United States of America (or, in the case of Foreign Subsidiaries with significant operations outside the United States of America, generally accepted accounting principles in effect from time to time in their respective jurisdictions of organization or formation) applied on a consistent basis, </w:t>
      </w:r>
      <w:r>
        <w:rPr>
          <w:rFonts w:ascii="Times New Roman;Times;Serif" w:hAnsi="Times New Roman;Times;Serif"/>
          <w:b w:val="false"/>
          <w:i w:val="false"/>
          <w:caps w:val="false"/>
          <w:smallCaps w:val="false"/>
          <w:sz w:val="20"/>
          <w:u w:val="single"/>
        </w:rPr>
        <w:t>subject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to the provisions of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Acts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Obligations</w:t>
      </w:r>
      <w:r>
        <w:rPr>
          <w:rFonts w:ascii="Times New Roman;Times;Serif" w:hAnsi="Times New Roman;Times;Serif"/>
          <w:b w:val="false"/>
          <w:i w:val="false"/>
          <w:caps w:val="false"/>
          <w:smallCaps w:val="false"/>
          <w:sz w:val="20"/>
        </w:rPr>
        <w:t>” shall have the meaning set forth in the definition of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shall mean the government of the United States of America or any other nation, or of any political subdivision thereof, whether state or local, and any agency, authority, instrumentality, regulatory body, court, central bank or other entity exercising executive, legislative,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shall mean (i) the Domestic Subsidiaries of the Lead Borrower that are, or may from time to time become, parties to this Agreement (including each Subsidiary Borrower) and (ii) with respect to the Credit Party Obligations of the Subsidiary Borrowers, the Lead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shall mean the guaranty of the Guarantors set forth in Article 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 Obligations</w:t>
      </w:r>
      <w:r>
        <w:rPr>
          <w:rFonts w:ascii="Times New Roman;Times;Serif" w:hAnsi="Times New Roman;Times;Serif"/>
          <w:b w:val="false"/>
          <w:i w:val="false"/>
          <w:caps w:val="false"/>
          <w:smallCaps w:val="false"/>
          <w:sz w:val="20"/>
        </w:rPr>
        <w:t>” shall mean, with respect to any Person, without duplication, any obligations of such Person (other than endorsements in the ordinary course of business of negotiable instruments for deposit or collection) guaranteeing or intended to guarantee any Indebtedness of any other Person in any manner, whether direct or indirect, and including, without limitation, any obligation, whether or not contingent, (a) to purchase any such Indebtedness or any property constituting security therefor, (b) to advance or provide funds or other support for the payment or purchase of any such Indebtedness or to maintain working capital, solvency or other balance sheet condition of such other Person (including, without limitation, keep well agreements, maintenance agreements, comfort letters or similar agreements or arrangements) for the benefit of any holder of Indebtedness of such other Person, (c) to lease or purchase property, securities or services primarily for the purpose of assuring the holder of such Indebtedness, or (d) to otherwise assure or hold harmless the holder of such Indebtedness against loss in respect thereof. The amount of any Guaranty Obligation hereunder shall (subject to any limitations set forth therein) be deemed to be an amount equal to the outstanding principal amount (or maximum principal amount, if larger) of the Indebtedness in respect of which such Guaranty Obligation is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 shall mean the federal Anti-kickback Statute (42 U.S.C. § 1320a-7b(b)), the Anti-Inducement Law (42 U.S.C. § 1320a-7a(a)(5)), the civil False Claims Act (31 U.S.C. §§ 3729 et seq.), the administrative False Claims Law (42 U.S.C. § 1320a-7b(a)), the civil monetary penalty laws (42 U.S.C. § 1320a-7a), the federal Food, Drug &amp; Cosmetic Act (21 U.S.C. §§ 301 et seq.), the federal Controlled Substances Act (21 U.S.C. § 801 et seq.), the Health Insurance Portability and Accountability Act of 1996 (42 U.S.C. §1320d et seq.) (“</w:t>
      </w:r>
      <w:r>
        <w:rPr>
          <w:rFonts w:ascii="Times New Roman;Times;Serif" w:hAnsi="Times New Roman;Times;Serif"/>
          <w:b w:val="false"/>
          <w:i w:val="false"/>
          <w:caps w:val="false"/>
          <w:smallCaps w:val="false"/>
          <w:sz w:val="20"/>
          <w:u w:val="single"/>
        </w:rPr>
        <w:t>HIPAA</w:t>
      </w:r>
      <w:r>
        <w:rPr>
          <w:rFonts w:ascii="Times New Roman;Times;Serif" w:hAnsi="Times New Roman;Times;Serif"/>
          <w:b w:val="false"/>
          <w:i w:val="false"/>
          <w:caps w:val="false"/>
          <w:smallCaps w:val="false"/>
          <w:sz w:val="20"/>
        </w:rPr>
        <w:t>”), as amended by the Health Information Technology for Economic and Clinical Health Act (“</w:t>
      </w:r>
      <w:r>
        <w:rPr>
          <w:rFonts w:ascii="Times New Roman;Times;Serif" w:hAnsi="Times New Roman;Times;Serif"/>
          <w:b w:val="false"/>
          <w:i w:val="false"/>
          <w:caps w:val="false"/>
          <w:smallCaps w:val="false"/>
          <w:sz w:val="20"/>
          <w:u w:val="single"/>
        </w:rPr>
        <w:t>HITECH</w:t>
      </w:r>
      <w:r>
        <w:rPr>
          <w:rFonts w:ascii="Times New Roman;Times;Serif" w:hAnsi="Times New Roman;Times;Serif"/>
          <w:b w:val="false"/>
          <w:i w:val="false"/>
          <w:caps w:val="false"/>
          <w:smallCaps w:val="false"/>
          <w:sz w:val="20"/>
        </w:rPr>
        <w:t>”), the Medicaid Drug Rebate Program (42 U.S.C. § 1396r-8), Medicare average sales price reporting (42 U.S.C. § 1395w-3a), the Public Health Service Act (42 U.S.C. § 256b), the federal TRICARE program (10 U.S.C. §1071 et seq.), the VA Federal Supply Schedule (38 U.S.C. § 8126), and the regulations promulgated pursuant to such laws, each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Agreements</w:t>
      </w:r>
      <w:r>
        <w:rPr>
          <w:rFonts w:ascii="Times New Roman;Times;Serif" w:hAnsi="Times New Roman;Times;Serif"/>
          <w:b w:val="false"/>
          <w:i w:val="false"/>
          <w:caps w:val="false"/>
          <w:smallCaps w:val="false"/>
          <w:sz w:val="20"/>
        </w:rPr>
        <w:t xml:space="preserve">” shall mean, with respect to any Person, any agreement entered into to protect such Person against fluctuations in interest rates, or currency or raw materials values, including, without limitation, any interest rate swap, cap or collar agreement or similar arrangement between such Person and one or more counterparties, any foreign currency exchange agreement, currency protection agreements, commodity purchase or option agreements or other interest or exchange rate hedging agreements;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neither any Permitted Bond Hedge Transaction nor any Permitted Warrant Transaction shall constitute a Hedging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HIPAA</w:t>
      </w:r>
      <w:r>
        <w:rPr>
          <w:rFonts w:ascii="Times New Roman;Times;Serif" w:hAnsi="Times New Roman;Times;Serif"/>
          <w:b w:val="false"/>
          <w:i w:val="false"/>
          <w:caps w:val="false"/>
          <w:smallCaps w:val="false"/>
          <w:sz w:val="20"/>
        </w:rPr>
        <w:t>” shall have the meaning set forth in the definition of “</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Historical Financial Statements</w:t>
      </w:r>
      <w:r>
        <w:rPr>
          <w:rFonts w:ascii="Times New Roman;Times;Serif" w:hAnsi="Times New Roman;Times;Serif"/>
          <w:b w:val="false"/>
          <w:i w:val="false"/>
          <w:caps w:val="false"/>
          <w:smallCaps w:val="false"/>
          <w:sz w:val="20"/>
        </w:rPr>
        <w:t>” shall mean (a) the audited Consolidated balance sheet and related audited Consolidated statements of income, stockholders’ equity and cash flows of the Lead Borrower for the fiscal years ended December 31, 2022 and December 31, 2023, (b) the unaudited Consolidated balance sheets and related unaudited Consolidated statements of income, stockholders’ equity and cash flows of the Lead Borrower for each fiscal quarter ended after the date of the most recent audited financial statements delivered pursuant to clause (a) above, and ended at least 45 days prior to the Closing Date (the financial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clause (a) above and this clause (b), collectively, the “</w:t>
      </w:r>
      <w:r>
        <w:rPr>
          <w:rFonts w:ascii="Times New Roman;Times;Serif" w:hAnsi="Times New Roman;Times;Serif"/>
          <w:b w:val="false"/>
          <w:i w:val="false"/>
          <w:caps w:val="false"/>
          <w:smallCaps w:val="false"/>
          <w:sz w:val="20"/>
          <w:u w:val="single"/>
        </w:rPr>
        <w:t>Borrower Historical Financial Statements</w:t>
      </w:r>
      <w:r>
        <w:rPr>
          <w:rFonts w:ascii="Times New Roman;Times;Serif" w:hAnsi="Times New Roman;Times;Serif"/>
          <w:b w:val="false"/>
          <w:i w:val="false"/>
          <w:caps w:val="false"/>
          <w:smallCaps w:val="false"/>
          <w:sz w:val="20"/>
        </w:rPr>
        <w:t>”), (c) the audited Consolidated balance sheet and related audited Consolidated statements of income, stockholders’ equity and cash flows of the Company for the fiscal years ended December 31, 2022 and December 31, 2023 and (d) the unaudited Consolidated balance sheets and related unaudited consolidated statements of income, stockholders’ equity and cash flows of the Company for each fiscal quarter ended after the date of the most recent audited financial statements delivered pursuant to clause (c) above, and ended at least 45 days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HITECH</w:t>
      </w:r>
      <w:r>
        <w:rPr>
          <w:rFonts w:ascii="Times New Roman;Times;Serif" w:hAnsi="Times New Roman;Times;Serif"/>
          <w:b w:val="false"/>
          <w:i w:val="false"/>
          <w:caps w:val="false"/>
          <w:smallCaps w:val="false"/>
          <w:sz w:val="20"/>
        </w:rPr>
        <w:t>” shall have the meaning set forth in the definition of “</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Immaterial Subsidiary</w:t>
      </w:r>
      <w:r>
        <w:rPr>
          <w:rFonts w:ascii="Times New Roman;Times;Serif" w:hAnsi="Times New Roman;Times;Serif"/>
          <w:b w:val="false"/>
          <w:i w:val="false"/>
          <w:caps w:val="false"/>
          <w:smallCaps w:val="false"/>
          <w:sz w:val="20"/>
        </w:rPr>
        <w:t>” shall mean any Subsidiary that is not a Material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Included Products</w:t>
      </w:r>
      <w:r>
        <w:rPr>
          <w:rFonts w:ascii="Times New Roman;Times;Serif" w:hAnsi="Times New Roman;Times;Serif"/>
          <w:b w:val="false"/>
          <w:i w:val="false"/>
          <w:caps w:val="false"/>
          <w:smallCaps w:val="false"/>
          <w:sz w:val="20"/>
        </w:rPr>
        <w:t>” shall mean any and all drug products that, as of the Closing Date, the Lead Borrower or any of the Restricted Subsidiaries sells, offers for sale, imports, promotes, markets, distributes or otherwise commercializes (or possesses the rights to sell, offer for sale, import, promote, market, distribute or otherwise commercialize) anywhere.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Equivalent Debt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2.22(g)(B)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Facilities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2.22(b)(i)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Facility Increase Amount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2.22(f)(2)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Facility Amendment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2.22(e)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Commitment Percentage</w:t>
      </w:r>
      <w:r>
        <w:rPr>
          <w:rFonts w:ascii="Times New Roman;Times;Serif" w:hAnsi="Times New Roman;Times;Serif"/>
          <w:b w:val="false"/>
          <w:i w:val="false"/>
          <w:caps w:val="false"/>
          <w:smallCaps w:val="false"/>
          <w:sz w:val="20"/>
        </w:rPr>
        <w:t xml:space="preserve">” shall mean, for any Incremental Revolving Lender, the percentage identified as its Incremental Revolving Commitment Percentage in the Incremental Facility Amendment pursuant to which such Lender became an Incremental Revolving Lender hereunder, as such percentage may be modified in connection with any assignment made in accordance with the provisions of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Lender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2.22(a)(ii)(B)(i)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Starter Basket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2.22(f)(1)(ii)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Facility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2.22(b)(i)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Lender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2.22(a)(ii)(C)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Facility Commitment Percentage</w:t>
      </w:r>
      <w:r>
        <w:rPr>
          <w:rFonts w:ascii="Times New Roman;Times;Serif" w:hAnsi="Times New Roman;Times;Serif"/>
          <w:b w:val="false"/>
          <w:i w:val="false"/>
          <w:caps w:val="false"/>
          <w:smallCaps w:val="false"/>
          <w:sz w:val="20"/>
        </w:rPr>
        <w:t xml:space="preserve">” shall mean, for any Incremental Term Lender, the percentage identified as its Incremental Term Facility Commitment Percentage in the Incremental Facility Amendment pursuant to which such Lender became an Incremental Term Lender hereunder, as such percentage may be modified in connection with any assignment made in accordance with the provisions of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Unlimited Prong</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2.22(f)(2)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Incurrence-Based Basket</w:t>
      </w:r>
      <w:r>
        <w:rPr>
          <w:rFonts w:ascii="Times New Roman;Times;Serif" w:hAnsi="Times New Roman;Times;Serif"/>
          <w:b w:val="false"/>
          <w:i w:val="false"/>
          <w:caps w:val="false"/>
          <w:smallCaps w:val="false"/>
          <w:sz w:val="20"/>
        </w:rPr>
        <w:t>” shall mean any category of exceptions, thresholds, baskets, or other provisions in this Agreement based on complying (including on a Pro Forma Basis) with any financial ratio (including the First Lien Net Leverage Ratio and/or the Total Net Leverage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shall mean, with respect to any Person, without duplication, (a) all obligations of such Person for borrowed money, (b) all obligations of such Person evidenced by bonds, debentures, notes or similar instruments, or upon which interest payments are customarily made, (c) all obligations of such Person under conditional sale or other title retention agreements relating to property purchased by such Person (other than customary reservations or retentions of title under agreements with suppliers entered into in the ordinary course of business), (d) all obligations (including, without limitation, earnout obligations) of such Person incurred, issued or assumed as the deferred purchase price of property or services purchased by such Person (other than (i) trade debt or accounts payable incurred in the ordinary course of business, (ii) purchase price adjustments, earnouts, holdbacks and other similar deferred consideration payable in connection with acquisitions and (iii) deferred or equity compensation arrangements payable to directors, officers, employees, advisors, consultants or other providers of services) which would appear as liabilities on a balance sheet of such Person, (e) all obligations of such Person under take-or-pay or similar arrangements or under commodities agreements, (f) all Indebtedness of others secured by (or for which the holder of such Indebtedness has an existing right, contingent or otherwise, to be secured by) any Lien on, or payable out of the proceeds of production from, property owned or acquired by such Person, whether or not the obligations secured thereby have been assumed, (g) all Guaranty Obligations of such Person with respect to Indebtedness of another Person, (h) the principal portion of all Capital Lease Obligations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accrued interest thereon, (i) all net obligations of such Person under Hedging Agreements, (j) the maximum amount of all letters of credit issued or bankers’ acceptances facilities created for the account of such Person and, without duplication, all drafts drawn thereunder (to the extent unreimbursed), (k) [Reserved], (l) the principal balance outstanding under any synthetic lease, tax retention operating lease, off-balance sheet loan or similar off-balance sheet financing product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accrued interest thereon, (m) all obligations of any partnership or unincorporated joint venture to the extent such Person is liable therefor as a result of such Person being a general partner or a joint venturer thereof, except to the extent the terms of such Indebtedness provide that such Person is not liable therefor and (n) obligations of such Person under non-compete agreements to the extent such obligations are quantifiable contingent obligations of such Person under GAAP principles. For all purposes hereof, the Indebtedness of the Lead Borrower and its Restricted Subsidiaries shall exclude intercompany liabilities arising from their cash management, tax and accounting operations and intercompany loans, advances or Indebtedness. “Indebtedness” shall not include the obligations or liabilities of any Person to pay rent or other amounts with respect to any lease of office space (or other arrangement conveying the right to use office space), which obligations (i) would be required to be classified and accounted for as an operating lease under GAAP as existing prior to December 31, 2018 or (ii) would be required to be classified and accounted for as a Capital Lease Obligation at any time due to build-to-suit accounting rules, “failed” sale and leaseback accounting rules, other lease classification rules or other similar rules so long as such obligations are not entered into for a financing purpose, are unsecured (other than the provision of any letters of credit required to support such obligations), and do not otherwise constitute “Indebtedness” pursuant to clauses (a), (b), (c) or (d) above. Notwithstanding the foregoing, the obligations of the Lead Borrower or any Subsidiary under any Permitted Warrant Transaction shall not constitute Indebtedness of the Lead Borrower or any Subsidiary so long as the terms of such Permitted Warrant Transaction provide for “net share settlement” (or substantially equivalent term) as the default “settlement method” (or substantially equivalent term) thereunder. For purposes of this Agreement, the amount of any Convertible Notes shall be the aggregate stated principal amount thereof without giving effect to any obligation to pay cash or deliver shares with value in excess of such principal amount, and without giving effect to any integration thereof with any Permitted Bond Hedge Transaction pursuant to U.S. Treasury Regulation § 1.1275-6.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shall mean (a) Taxes, other than Excluded Taxes, imposed on or with respect to any payment made by or on account of any obligation of the Borrowers under any Credit Document and (b) to the extent not otherwise described in (a),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Revolving Commitment Percentage</w:t>
      </w:r>
      <w:r>
        <w:rPr>
          <w:rFonts w:ascii="Times New Roman;Times;Serif" w:hAnsi="Times New Roman;Times;Serif"/>
          <w:b w:val="false"/>
          <w:i w:val="false"/>
          <w:caps w:val="false"/>
          <w:smallCaps w:val="false"/>
          <w:sz w:val="20"/>
        </w:rPr>
        <w:t xml:space="preserve">” shall mean, for any Revolving Lender, the percentage identified as its Revolving Commitment Percentage on </w:t>
      </w:r>
      <w:r>
        <w:rPr>
          <w:rFonts w:ascii="Times New Roman;Times;Serif" w:hAnsi="Times New Roman;Times;Serif"/>
          <w:b w:val="false"/>
          <w:i w:val="false"/>
          <w:caps w:val="false"/>
          <w:smallCaps w:val="false"/>
          <w:sz w:val="20"/>
          <w:u w:val="single"/>
        </w:rPr>
        <w:t>Schedule 2.1(a)</w:t>
      </w:r>
      <w:r>
        <w:rPr>
          <w:rFonts w:ascii="Times New Roman;Times;Serif" w:hAnsi="Times New Roman;Times;Serif"/>
          <w:b w:val="false"/>
          <w:i w:val="false"/>
          <w:caps w:val="false"/>
          <w:smallCaps w:val="false"/>
          <w:sz w:val="20"/>
        </w:rPr>
        <w:t xml:space="preserve">, or in the Assignment and Assumption pursuant to which such Lender became a Lender hereunder, as such percentage may be modified in connection with any assignment made in accordance with the provisions of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Term Loan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Term Loan Commitment</w:t>
      </w:r>
      <w:r>
        <w:rPr>
          <w:rFonts w:ascii="Times New Roman;Times;Serif" w:hAnsi="Times New Roman;Times;Serif"/>
          <w:b w:val="false"/>
          <w:i w:val="false"/>
          <w:caps w:val="false"/>
          <w:smallCaps w:val="false"/>
          <w:sz w:val="20"/>
        </w:rPr>
        <w:t xml:space="preserve">” shall mean, with respect to each Initial Term Loan Lender, the commitment of such Initial Term Loan Lender to make an Initial Term Loan in a principal amount of up to the amount set forth opposite its name on </w:t>
      </w:r>
      <w:r>
        <w:rPr>
          <w:rFonts w:ascii="Times New Roman;Times;Serif" w:hAnsi="Times New Roman;Times;Serif"/>
          <w:b w:val="false"/>
          <w:i w:val="false"/>
          <w:caps w:val="false"/>
          <w:smallCaps w:val="false"/>
          <w:sz w:val="20"/>
          <w:u w:val="single"/>
        </w:rPr>
        <w:t>Schedule 2.1(a)</w:t>
      </w:r>
      <w:r>
        <w:rPr>
          <w:rFonts w:ascii="Times New Roman;Times;Serif" w:hAnsi="Times New Roman;Times;Serif"/>
          <w:b w:val="false"/>
          <w:i w:val="false"/>
          <w:caps w:val="false"/>
          <w:smallCaps w:val="false"/>
          <w:sz w:val="20"/>
        </w:rPr>
        <w:t>. The aggregate amount of the Initial Term Loan Commitments on the Closing Date is $325,000,000.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Term Loan Commitment Percentage</w:t>
      </w:r>
      <w:r>
        <w:rPr>
          <w:rFonts w:ascii="Times New Roman;Times;Serif" w:hAnsi="Times New Roman;Times;Serif"/>
          <w:b w:val="false"/>
          <w:i w:val="false"/>
          <w:caps w:val="false"/>
          <w:smallCaps w:val="false"/>
          <w:sz w:val="20"/>
        </w:rPr>
        <w:t xml:space="preserve">” shall mean, for any Initial Term Loan Lender, the percentage identified as its Initial Term Loan Commitment Percentage on </w:t>
      </w:r>
      <w:r>
        <w:rPr>
          <w:rFonts w:ascii="Times New Roman;Times;Serif" w:hAnsi="Times New Roman;Times;Serif"/>
          <w:b w:val="false"/>
          <w:i w:val="false"/>
          <w:caps w:val="false"/>
          <w:smallCaps w:val="false"/>
          <w:sz w:val="20"/>
          <w:u w:val="single"/>
        </w:rPr>
        <w:t>Schedule 2.1(a)</w:t>
      </w:r>
      <w:r>
        <w:rPr>
          <w:rFonts w:ascii="Times New Roman;Times;Serif" w:hAnsi="Times New Roman;Times;Serif"/>
          <w:b w:val="false"/>
          <w:i w:val="false"/>
          <w:caps w:val="false"/>
          <w:smallCaps w:val="false"/>
          <w:sz w:val="20"/>
        </w:rPr>
        <w:t xml:space="preserve">, or in the Assignment and Assumption pursuant to which such Lender became a Lender hereunder, as such percentage may be modified in connection with any assignment made in accordance with the provisions of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Term Loan Facility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Term Loan Lender</w:t>
      </w:r>
      <w:r>
        <w:rPr>
          <w:rFonts w:ascii="Times New Roman;Times;Serif" w:hAnsi="Times New Roman;Times;Serif"/>
          <w:b w:val="false"/>
          <w:i w:val="false"/>
          <w:caps w:val="false"/>
          <w:smallCaps w:val="false"/>
          <w:sz w:val="20"/>
        </w:rPr>
        <w:t>” shall mean a Lender holding an Initial Term Loan Commitment or an Initial Term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w:t>
      </w:r>
      <w:r>
        <w:rPr>
          <w:rFonts w:ascii="Times New Roman;Times;Serif" w:hAnsi="Times New Roman;Times;Serif"/>
          <w:b w:val="false"/>
          <w:i w:val="false"/>
          <w:caps w:val="false"/>
          <w:smallCaps w:val="false"/>
          <w:sz w:val="20"/>
        </w:rPr>
        <w:t xml:space="preserve">” shall mean, with respect to any Multiemployer Plan, the condition that such ERISA Plan is insolvent within the meaning of such term as used in </w:t>
      </w:r>
      <w:r>
        <w:rPr>
          <w:rFonts w:ascii="Times New Roman;Times;Serif" w:hAnsi="Times New Roman;Times;Serif"/>
          <w:b w:val="false"/>
          <w:i w:val="false"/>
          <w:caps w:val="false"/>
          <w:smallCaps w:val="false"/>
          <w:sz w:val="20"/>
          <w:u w:val="single"/>
        </w:rPr>
        <w:t>Section 4245</w:t>
      </w:r>
      <w:r>
        <w:rPr>
          <w:rFonts w:ascii="Times New Roman;Times;Serif" w:hAnsi="Times New Roman;Times;Serif"/>
          <w:b w:val="false"/>
          <w:i w:val="false"/>
          <w:caps w:val="false"/>
          <w:smallCaps w:val="false"/>
          <w:sz w:val="20"/>
        </w:rPr>
        <w:t xml:space="preserve">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shall mean, collectively, all Copyrights, Copyright Licenses, Patents, Patent Licenses, Trademarks and Trademark Licenses of the Lead Borrower and its Restricted Subsidiaries, all goodwill associated therewith and all rights to sue for infringement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Intercompany Debt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9.19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Coverage Ratio</w:t>
      </w:r>
      <w:r>
        <w:rPr>
          <w:rFonts w:ascii="Times New Roman;Times;Serif" w:hAnsi="Times New Roman;Times;Serif"/>
          <w:b w:val="false"/>
          <w:i w:val="false"/>
          <w:caps w:val="false"/>
          <w:smallCaps w:val="false"/>
          <w:sz w:val="20"/>
        </w:rPr>
        <w:t>” shall mean, for any Test Period, the ratio of (i) Consolidated EBITDA for such Test Period to (ii) Consolidated Cash Interest Expense for such Test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xml:space="preserve">” shall mean (a) as to any ABR Loan (other than a Swingline Loan), the last Business Day of each March, June, September and December and on the applicable Maturity Date, (b) as to any RFR Loan, (1) each date that is on the numerically corresponding day in each calendar month that is one month after the Borrowing of such Loan (or, if there is no such numerically corresponding day in such month, then the last day of such month) and (2) the applicable Maturity Date, (c) as to any Term Benchmark Loan having an Interest Period of three months or less, (1) the last day of such Interest Period and (2) the applicable Maturity Date, (d) as to any Term Benchmark Loan having an Interest Period longer than three months, (1) each three month anniversary following the first day of such Interest Period, (2) the last day of such Interest Period and (3) the applicable Maturity Date, (e) as to any Loan which is the subject of a mandatory prepayment required pursuant to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the date on which such mandatory prepayment is due and (f) as to any Swingline Loan, the date that such Loan is repaid (or required to be repaid) and the applicable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shall mean, with respect to any Term Benchmark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initially, the period commencing on the Borrowing Date or conversion date, as the case may be, with respect to such Term Benchmark Borrowing and ending one, three or six months thereafter, as selected by the Lead Borrower in the Notice of Borrowing or Notice of Conversion/Extension given with respect thereto;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thereafter, each period commencing on the last day of the immediately preceding Interest Period applicable to such Term Benchmark Borrowing and ending one, three or six months thereafter, as selected by the Lead Borrower by irrevocable notice to the Administrative Agent not less than three Business Days prior to the last day of the then current Interest Period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provisions are subject to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Interest Period pertaining to a Term Benchmark Borrowing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Interest Period pertaining to a Term Benchmark Borrowing that begins on the last Business Day of a calendar month (or on a day for which there is no numerically corresponding day in the calendar month at the end of such Interest Period) shall end on the last Business Day of the relevant calendar month;</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Lead Borrower shall fail to give notice as provided above, the Lead Borrower shall be deemed to have selected a Term Benchmark Borrowing with an Interest Period of one month;</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Interest Period in respect of any Term Benchmark Borrowing shall extend beyond the applicable Maturity Date;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more than ten (10) Term Benchmark Borrowings may be in effect at any time.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shall mean (a) the acquisition (whether for cash, property, services, assumption of Indebtedness, securities or otherwise) of Equity Interests, other ownership interests or other securities of any Person or bonds, notes, debentures or all or substantially all of the assets of any Person, (b) any deposit with, or advance, loan or other extension of credit to, any Person (other than deposits made in the ordinary course of business) or (c) any other capital contribution to or investment in any Person, including, without limitation, any Guaranty Obligation (including any support for a letter of credit issued on behalf of such Person) incurred for the benefit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shall mean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ISDA Definitions</w:t>
      </w:r>
      <w:r>
        <w:rPr>
          <w:rFonts w:ascii="Times New Roman;Times;Serif" w:hAnsi="Times New Roman;Times;Serif"/>
          <w:b w:val="false"/>
          <w:i w:val="false"/>
          <w:caps w:val="false"/>
          <w:smallCaps w:val="false"/>
          <w:sz w:val="20"/>
        </w:rPr>
        <w:t>” 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Lender</w:t>
      </w:r>
      <w:r>
        <w:rPr>
          <w:rFonts w:ascii="Times New Roman;Times;Serif" w:hAnsi="Times New Roman;Times;Serif"/>
          <w:b w:val="false"/>
          <w:i w:val="false"/>
          <w:caps w:val="false"/>
          <w:smallCaps w:val="false"/>
          <w:sz w:val="20"/>
        </w:rPr>
        <w:t>” shall mean each of JPMorgan Chase Bank, N.A., Regions Bank, The Huntington National Bank and Bank of America, N.A., each in its capacity as an issuer of Letters of Credit hereunder, or such other or additional Lenders as may be designated by the Lead Borrower and approved by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Lender has agreed to be an Issuing Lender, together with any permitted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Lender Fees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shall mean a Joinder Agreement in substantially the form of </w:t>
      </w:r>
      <w:r>
        <w:rPr>
          <w:rFonts w:ascii="Times New Roman;Times;Serif" w:hAnsi="Times New Roman;Times;Serif"/>
          <w:b w:val="false"/>
          <w:i w:val="false"/>
          <w:caps w:val="false"/>
          <w:smallCaps w:val="false"/>
          <w:sz w:val="20"/>
          <w:u w:val="single"/>
        </w:rPr>
        <w:t>Exhibit 1.1(c)</w:t>
      </w:r>
      <w:r>
        <w:rPr>
          <w:rFonts w:ascii="Times New Roman;Times;Serif" w:hAnsi="Times New Roman;Times;Serif"/>
          <w:b w:val="false"/>
          <w:i w:val="false"/>
          <w:caps w:val="false"/>
          <w:smallCaps w:val="false"/>
          <w:sz w:val="20"/>
        </w:rPr>
        <w:t xml:space="preserve">, executed and delivered by an Additional Credit Party in accordance with the provisions of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Financing</w:t>
      </w:r>
      <w:r>
        <w:rPr>
          <w:rFonts w:ascii="Times New Roman;Times;Serif" w:hAnsi="Times New Roman;Times;Serif"/>
          <w:b w:val="false"/>
          <w:i w:val="false"/>
          <w:caps w:val="false"/>
          <w:smallCaps w:val="false"/>
          <w:sz w:val="20"/>
        </w:rPr>
        <w:t>” shall mean (a) any Indebtedness that constitutes Subordinated Debt or (b) Indebtedness secured by a Lien on the Collateral that is junior to the Lien securing the Initial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Latest Maturity Date</w:t>
      </w:r>
      <w:r>
        <w:rPr>
          <w:rFonts w:ascii="Times New Roman;Times;Serif" w:hAnsi="Times New Roman;Times;Serif"/>
          <w:b w:val="false"/>
          <w:i w:val="false"/>
          <w:caps w:val="false"/>
          <w:smallCaps w:val="false"/>
          <w:sz w:val="20"/>
        </w:rPr>
        <w:t>” shall mean,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established in accordance with this Agreement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LCT Election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LCT Test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shall mean the Persons listed on </w:t>
      </w:r>
      <w:r>
        <w:rPr>
          <w:rFonts w:ascii="Times New Roman;Times;Serif" w:hAnsi="Times New Roman;Times;Serif"/>
          <w:b w:val="false"/>
          <w:i w:val="false"/>
          <w:caps w:val="false"/>
          <w:smallCaps w:val="false"/>
          <w:sz w:val="20"/>
          <w:u w:val="single"/>
        </w:rPr>
        <w:t>Schedule 2.1(a)</w:t>
      </w:r>
      <w:r>
        <w:rPr>
          <w:rFonts w:ascii="Times New Roman;Times;Serif" w:hAnsi="Times New Roman;Times;Serif"/>
          <w:b w:val="false"/>
          <w:i w:val="false"/>
          <w:caps w:val="false"/>
          <w:smallCaps w:val="false"/>
          <w:sz w:val="20"/>
        </w:rPr>
        <w:t xml:space="preserve"> and any other Person that shall have become party hereto pursuant to an Assignment and Assumption, other than any such Person that ceases to be a party hereto pursuant to an Assignment and Assumption. Unless the context requires otherwise, the term “Lenders” includes the Swingline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shall mean any letter of credit issued by an Issuing Lender pursuant to the terms hereof, as such letter of credit may be amended, modified, restated, extended, renewed, increased, replaced or supplemented from time to time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Commitment</w:t>
      </w:r>
      <w:r>
        <w:rPr>
          <w:rFonts w:ascii="Times New Roman;Times;Serif" w:hAnsi="Times New Roman;Times;Serif"/>
          <w:b w:val="false"/>
          <w:i w:val="false"/>
          <w:caps w:val="false"/>
          <w:smallCaps w:val="false"/>
          <w:sz w:val="20"/>
        </w:rPr>
        <w:t xml:space="preserve">” shall mean, as to any Issuing Lender, such Issuing Lender’s commitment to issue Letters of Credit with an aggregate face amount at any one time outstanding of up to the amount set forth opposite such Issuing Lender’s name on </w:t>
      </w:r>
      <w:r>
        <w:rPr>
          <w:rFonts w:ascii="Times New Roman;Times;Serif" w:hAnsi="Times New Roman;Times;Serif"/>
          <w:b w:val="false"/>
          <w:i w:val="false"/>
          <w:caps w:val="false"/>
          <w:smallCaps w:val="false"/>
          <w:sz w:val="20"/>
          <w:u w:val="single"/>
        </w:rPr>
        <w:t>Schedule 2.1(a)</w:t>
      </w:r>
      <w:r>
        <w:rPr>
          <w:rFonts w:ascii="Times New Roman;Times;Serif" w:hAnsi="Times New Roman;Times;Serif"/>
          <w:b w:val="false"/>
          <w:i w:val="false"/>
          <w:caps w:val="false"/>
          <w:smallCaps w:val="false"/>
          <w:sz w:val="20"/>
        </w:rPr>
        <w:t xml:space="preserve"> or, with respect to any Person that becomes an Issuing Lender after the Closing Date, in the agreement pursuant to which such Person became an Issuing Lender. The aggregate amount of the Letter of Credit Commitments on the Closing Date is $10,000,000.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Facing Fee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Fee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shall mean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 any conditional sale or other title retention agreement and any Capital Lease having substantially the same economic effect as any of the foregoing and (b) the filing of, or the agreement to give, any UCC financing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Condition Transaction</w:t>
      </w:r>
      <w:r>
        <w:rPr>
          <w:rFonts w:ascii="Times New Roman;Times;Serif" w:hAnsi="Times New Roman;Times;Serif"/>
          <w:b w:val="false"/>
          <w:i w:val="false"/>
          <w:caps w:val="false"/>
          <w:smallCaps w:val="false"/>
          <w:sz w:val="20"/>
        </w:rPr>
        <w:t>” shall mean (i) the Acquisition and (ii) an acquisition or an Investment (including the repayment, redemption or other discharge of Indebtedness of the target or any of its subsidiaries or other affiliates being acquired as a part of such acquisition or Investment), unconditional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irrevocable permitted repayment or redemption of, or offer to purchase, any Indebtedness or Restricted Payment (including the incurrence of Indebtedness in connection with any of the foregoing) whose consummation is not conditioned on the availability of, or on obtaining, third party financing (it being understood that such commitment may be subject to conditions precedent (including diligence and regulatory conditions), which conditions precedent may be amended, satisfied or waived in accordance with the terms of the applicable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shall mean a Revolving Loan, an Initial Term Loan, a Swingline Loan, an Incremental Term Facility, an Other Term Loan, and/or an Other Revolving Loan,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 Documents</w:t>
      </w:r>
      <w:r>
        <w:rPr>
          <w:rFonts w:ascii="Times New Roman;Times;Serif" w:hAnsi="Times New Roman;Times;Serif"/>
          <w:b w:val="false"/>
          <w:i w:val="false"/>
          <w:caps w:val="false"/>
          <w:smallCaps w:val="false"/>
          <w:sz w:val="20"/>
        </w:rPr>
        <w:t>” shall mean, with respect to each Letter of Credit, such Letter of Credit, any amendments thereto, any documents delivered in connection therewith, any application therefor, and any agreements, instruments, guarantees or other documents (whether general in application or applicable only to such Letter of Credit) governing or providing for (a) the rights and obligations of the parties concerned or (b) any collateral for such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 Obligations</w:t>
      </w:r>
      <w:r>
        <w:rPr>
          <w:rFonts w:ascii="Times New Roman;Times;Serif" w:hAnsi="Times New Roman;Times;Serif"/>
          <w:b w:val="false"/>
          <w:i w:val="false"/>
          <w:caps w:val="false"/>
          <w:smallCaps w:val="false"/>
          <w:sz w:val="20"/>
        </w:rPr>
        <w:t xml:space="preserve">” shall mean, at any time, the sum of (a) the maximum amount which is, or at any time thereafter may become, available to be drawn under Letters of Credit then outstanding, assuming compliance with all requirements for drawings referred to in such Letters of Credit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aggregate amount of all drawings under Letters of Credit honored by any Issuing Lender but not theretofore reimbursed.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Mandatory LOC Borrowing</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Mandatory Swingline Borrowing</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2.4(b)(ii)(D)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Acquisition</w:t>
      </w:r>
      <w:r>
        <w:rPr>
          <w:rFonts w:ascii="Times New Roman;Times;Serif" w:hAnsi="Times New Roman;Times;Serif"/>
          <w:b w:val="false"/>
          <w:i w:val="false"/>
          <w:caps w:val="false"/>
          <w:smallCaps w:val="false"/>
          <w:sz w:val="20"/>
        </w:rPr>
        <w:t>” shall mean any Permitted Acquisition (or other acquisition permitted by this Agreement that would be a Permitted Acquisition except for the requirements of clause (iv) of such definition) the aggregate consideration for which (including earn-out obligations, seller debt, Indebtedness assumed in connection therewith and any other consideration therefor) is in excess of $100,000,000.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mean a material adverse effect on (a) the business, results of operations, property, assets or financial condition of the Lead Borrower and its Restricted Subsidiaries taken as a whole, (b) the ability of the Credit Parties, taken as a whole, to perform their payment obligations under the Credit Documents when such payment obligations are due under this Agreement or any other Credit Document or (c) the validity or enforceability of this Agreement or any of the other Credit Documents, the Administrative Agent’s Liens (for the benefit of the Secured Parties) on the Collateral or the priority of such Liens as contemplated by the Credit Documents or the rights or remedies of the Administrative Agent or the Lenders under the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Intellectual Property</w:t>
      </w:r>
      <w:r>
        <w:rPr>
          <w:rFonts w:ascii="Times New Roman;Times;Serif" w:hAnsi="Times New Roman;Times;Serif"/>
          <w:b w:val="false"/>
          <w:i w:val="false"/>
          <w:caps w:val="false"/>
          <w:smallCaps w:val="false"/>
          <w:sz w:val="20"/>
        </w:rPr>
        <w:t>” shall mean any Intellectual Property owned (or licensed on an exclusive basis) by the Lead Borrower or any Restricted Subsidiary that, in the good faith determination of the Lead Borrower, is material to the business of the Lead Borrower and its Restricted Subsidiaries, taken as a whole (whether owned as of the Closing Date or thereafter acquired).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Subsidiary</w:t>
      </w:r>
      <w:r>
        <w:rPr>
          <w:rFonts w:ascii="Times New Roman;Times;Serif" w:hAnsi="Times New Roman;Times;Serif"/>
          <w:b w:val="false"/>
          <w:i w:val="false"/>
          <w:caps w:val="false"/>
          <w:smallCaps w:val="false"/>
          <w:sz w:val="20"/>
        </w:rPr>
        <w:t xml:space="preserve">” shall mean each Restricted Subsidiary that, as of the last day of the most recent fiscal quarter for which financial statements are required to be delivered (or are actually delivered, if earlier) prior to such date of determination and/or for the Test Period ending on such date, had Consolidated revenues or Consolidated Total Assets in excess of 5% of the aggregate Consolidated revenues or Consolidated Total Assets, as applicable, of the Lead Borrower and its Restricted Subsidiaries, on a Consolidated basis, as of such date and/or for such Test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aggregate Consolidated revenues or Consolidated Total Assets, as applicable, of all Immaterial Subsidiaries, taken together, as of the last day of any fiscal quarter for which financial statements are required to be delivered (or are actually delivered, if earlier) prior to such date of determination and/or for the Test Period ending on such date, exceeds 10% of the aggregate Consolidated revenues or Consolidated Total Assets, as applicable, of the Lead Borrower and its Restricted Subsidiaries, on a Consolidated basis, as of such date and/or for such Test Period, the Lead Borrower shall designate one or more Immaterial Subsidiaries to be a Material Subsidiary as may be necessary such that the foregoing 10% aggregate limit shall not be exceeded, and any such Subsidiary shall thereafter be deemed to be a Material Subsidiary hereunder;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Lead Borrower may re-designate Material Subsidiaries as Immaterial Subsidiaries so long as the Lead Borrower is in compliance with this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Materials of Environmental Concern</w:t>
      </w:r>
      <w:r>
        <w:rPr>
          <w:rFonts w:ascii="Times New Roman;Times;Serif" w:hAnsi="Times New Roman;Times;Serif"/>
          <w:b w:val="false"/>
          <w:i w:val="false"/>
          <w:caps w:val="false"/>
          <w:smallCaps w:val="false"/>
          <w:sz w:val="20"/>
        </w:rPr>
        <w:t>” shall mean any gasoline or petroleum (including crude oil or any extraction thereof) or petroleum products or any pollutants, contaminants, hazardous or toxic substances, materials or wastes, defined or regulated as such in or under any Environmental Law, including, without limitation, asbestos, perchlorate, polychlorinated biphenyls and urea-formaldehyde insulation.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shall mean the Term Maturity Date and/or the Revolving Maturity Date, as the context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Collateral Amount</w:t>
      </w:r>
      <w:r>
        <w:rPr>
          <w:rFonts w:ascii="Times New Roman;Times;Serif" w:hAnsi="Times New Roman;Times;Serif"/>
          <w:b w:val="false"/>
          <w:i w:val="false"/>
          <w:caps w:val="false"/>
          <w:smallCaps w:val="false"/>
          <w:sz w:val="20"/>
        </w:rPr>
        <w:t>” shall mean, at any time, (i) with respect to Cash Collateral consisting of cash or deposit account balances, an amount equal to 103% of the Fronting Exposure of all Issuing Lenders with respect to Letters of Credit issued and outstanding at such time and (ii) otherwise, an amount determined by the Administrative Agent and the Issuing Lenders in their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Modified Amortization Percentage</w:t>
      </w:r>
      <w:r>
        <w:rPr>
          <w:rFonts w:ascii="Times New Roman;Times;Serif" w:hAnsi="Times New Roman;Times;Serif"/>
          <w:b w:val="false"/>
          <w:i w:val="false"/>
          <w:caps w:val="false"/>
          <w:smallCaps w:val="false"/>
          <w:sz w:val="20"/>
        </w:rPr>
        <w:t xml:space="preserve">” shall mean, as of any date of determination, with respect to any Incremental Term Facilities that constitute part of the same Class as the Initial Term Loans, a percentage equal to a fraction, the numerator of which is the principal amount of the next scheduled amortization payment required to be made pursuant to </w:t>
      </w:r>
      <w:r>
        <w:rPr>
          <w:rFonts w:ascii="Times New Roman;Times;Serif" w:hAnsi="Times New Roman;Times;Serif"/>
          <w:b w:val="false"/>
          <w:i w:val="false"/>
          <w:caps w:val="false"/>
          <w:smallCaps w:val="false"/>
          <w:sz w:val="20"/>
          <w:u w:val="single"/>
        </w:rPr>
        <w:t>Section 2.2(a)(ii)</w:t>
      </w:r>
      <w:r>
        <w:rPr>
          <w:rFonts w:ascii="Times New Roman;Times;Serif" w:hAnsi="Times New Roman;Times;Serif"/>
          <w:b w:val="false"/>
          <w:i w:val="false"/>
          <w:caps w:val="false"/>
          <w:smallCaps w:val="false"/>
          <w:sz w:val="20"/>
        </w:rPr>
        <w:t xml:space="preserve"> after such date (excluding any such amortization payment that has been reduced in whole or in part by the application of a prepayment hereunder), and the denominator of which is the aggregate principal amount of Initial Term Loans that is outstanding as of such date (without giving effect to the incurrence of Incremental Term Facilities constituting part of the same Class as the Initial Term Loans to be made on such date, but, for the avoidance of doubt, to include any Incremental Term Facilities constituting part of the same Class as the Initial Term Loans incurred prior to such date if such Incremental Term Facilities are to be fungible with the Initial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shall mean Moody’s Investors Service,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xml:space="preserve">” shall mean an ERISA Plan that is a multiemployer plan as defined in </w:t>
      </w:r>
      <w:r>
        <w:rPr>
          <w:rFonts w:ascii="Times New Roman;Times;Serif" w:hAnsi="Times New Roman;Times;Serif"/>
          <w:b w:val="false"/>
          <w:i w:val="false"/>
          <w:caps w:val="false"/>
          <w:smallCaps w:val="false"/>
          <w:sz w:val="20"/>
          <w:u w:val="single"/>
        </w:rPr>
        <w:t>Section 4001(a)(3)</w:t>
      </w:r>
      <w:r>
        <w:rPr>
          <w:rFonts w:ascii="Times New Roman;Times;Serif" w:hAnsi="Times New Roman;Times;Serif"/>
          <w:b w:val="false"/>
          <w:i w:val="false"/>
          <w:caps w:val="false"/>
          <w:smallCaps w:val="false"/>
          <w:sz w:val="20"/>
        </w:rPr>
        <w:t xml:space="preserve">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Cash Proceeds</w:t>
      </w:r>
      <w:r>
        <w:rPr>
          <w:rFonts w:ascii="Times New Roman;Times;Serif" w:hAnsi="Times New Roman;Times;Serif"/>
          <w:b w:val="false"/>
          <w:i w:val="false"/>
          <w:caps w:val="false"/>
          <w:smallCaps w:val="false"/>
          <w:sz w:val="20"/>
        </w:rPr>
        <w:t>” shall mean the aggregate cash proceeds received by the Lead Borrower or any Restricted Subsidiary in respect of any Asset Disposition, Equity Issuance, Debt Issuance or Extraordinary Receipt, net of (a) reasonable and customary direct costs (including, without limitation, legal, accounting and investment banking fees, underwriting discounts, principal, interest and prepayment or penalty amounts of any Indebtedness that is secured by applicable assets (unless secured by Liens ranking pari passu or junior to the Liens securing the Obligations) and that is required to be repaid and sales commissions) associated therewith and paid to Persons who are not Restricted Subsidiaries or their Affiliates, (b) amounts held in escrow to be applied as part of the purchase price of any Asset Disposition, (c) taxes paid or reasonably estimated to be payable as a result thereof and (d) amounts retained by or paid to parties having superior rights to such proceeds; it being understood that “Net Cash Proceeds” shall include, without limitation, any cash received upon the sale or other disposition of any non-cash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received by the Lead Borrower or any Restricted Subsidiary in any Asset Disposition, Debt Issuance or Extraordinary Receipt and any cash released from escrow as part of the purchase price in connection with any Asset Disposition, to the extent not used to replace any asset, as permitted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9.1(f)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Non-Defaulting Lender</w:t>
      </w:r>
      <w:r>
        <w:rPr>
          <w:rFonts w:ascii="Times New Roman;Times;Serif" w:hAnsi="Times New Roman;Times;Serif"/>
          <w:b w:val="false"/>
          <w:i w:val="false"/>
          <w:caps w:val="false"/>
          <w:smallCaps w:val="false"/>
          <w:sz w:val="20"/>
        </w:rPr>
        <w:t>” shall mean, at any time, each Lender that is not a Defaulting Lender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shall mean the Revolving Loan Notes, the Term Loan Notes and/or the Swingline Loan Note, collectively, separately or individually,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xml:space="preserve">” shall mean a request for a Revolving Loan borrowing pursuant to </w:t>
      </w:r>
      <w:r>
        <w:rPr>
          <w:rFonts w:ascii="Times New Roman;Times;Serif" w:hAnsi="Times New Roman;Times;Serif"/>
          <w:b w:val="false"/>
          <w:i w:val="false"/>
          <w:caps w:val="false"/>
          <w:smallCaps w:val="false"/>
          <w:sz w:val="20"/>
          <w:u w:val="single"/>
        </w:rPr>
        <w:t>Section 2.1(b)(i)</w:t>
      </w:r>
      <w:r>
        <w:rPr>
          <w:rFonts w:ascii="Times New Roman;Times;Serif" w:hAnsi="Times New Roman;Times;Serif"/>
          <w:b w:val="false"/>
          <w:i w:val="false"/>
          <w:caps w:val="false"/>
          <w:smallCaps w:val="false"/>
          <w:sz w:val="20"/>
        </w:rPr>
        <w:t xml:space="preserve">, an Initial Term Loan borrowing pursuant to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a Swingline Loan borrowing pursuant to </w:t>
      </w:r>
      <w:r>
        <w:rPr>
          <w:rFonts w:ascii="Times New Roman;Times;Serif" w:hAnsi="Times New Roman;Times;Serif"/>
          <w:b w:val="false"/>
          <w:i w:val="false"/>
          <w:caps w:val="false"/>
          <w:smallCaps w:val="false"/>
          <w:sz w:val="20"/>
          <w:u w:val="single"/>
        </w:rPr>
        <w:t>Section 2.4(b)(i)</w:t>
      </w:r>
      <w:r>
        <w:rPr>
          <w:rFonts w:ascii="Times New Roman;Times;Serif" w:hAnsi="Times New Roman;Times;Serif"/>
          <w:b w:val="false"/>
          <w:i w:val="false"/>
          <w:caps w:val="false"/>
          <w:smallCaps w:val="false"/>
          <w:sz w:val="20"/>
        </w:rPr>
        <w:t xml:space="preserve">, an Incremental Term Facility borrowing or Revolving Facility Increase, as applicable,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or any other request for a Loan borrowing pursuant hereto, as appropriate, in each case, in the form provided to the Lead Borrower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Conversion/Extension</w:t>
      </w:r>
      <w:r>
        <w:rPr>
          <w:rFonts w:ascii="Times New Roman;Times;Serif" w:hAnsi="Times New Roman;Times;Serif"/>
          <w:b w:val="false"/>
          <w:i w:val="false"/>
          <w:caps w:val="false"/>
          <w:smallCaps w:val="false"/>
          <w:sz w:val="20"/>
        </w:rPr>
        <w:t>” shall mean the written notice of conversion of a Term Benchmark Borrowing to an ABR Borrowing or an ABR Borrowing to a Term Benchmark Borrowing, or a continuation of a Term Benchmark Borrowing for a new Interest Period, in each case, in the form provided to the Lead Borrower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shall mean the Federal Reserve Bank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 Rate</w:t>
      </w:r>
      <w:r>
        <w:rPr>
          <w:rFonts w:ascii="Times New Roman;Times;Serif" w:hAnsi="Times New Roman;Times;Serif"/>
          <w:b w:val="false"/>
          <w:i w:val="false"/>
          <w:caps w:val="false"/>
          <w:smallCaps w:val="false"/>
          <w:sz w:val="20"/>
        </w:rPr>
        <w:t xml:space="preserve">” shall mean, for any day, the greater of (a) the Federal Funds Effective Rate in effect on such day and (b) the Overnight Bank Funding Rate in effect on such day (or for any day that is not a Business Day, for the immediately preceding Business Day);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any of the aforesaid rates as so determined would be less than zero, such rate shall be deemed to be zero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NYFRB’s Website</w:t>
      </w:r>
      <w:r>
        <w:rPr>
          <w:rFonts w:ascii="Times New Roman;Times;Serif" w:hAnsi="Times New Roman;Times;Serif"/>
          <w:b w:val="false"/>
          <w:i w:val="false"/>
          <w:caps w:val="false"/>
          <w:smallCaps w:val="false"/>
          <w:sz w:val="20"/>
        </w:rPr>
        <w:t>” shall mean the website of the NYFRB at http://www.newyorkfed.org, or any successor source.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shall mean, collectively, all of the obligations, Indebtedness and liabilities of the Credit Parties, whenever arising, under this Agreement or any of the other Credit Documents, including principal, interest, fees, costs, charges, expenses, professional fees, reimbursements, all sums chargeable to the Credit Parties or for which any Credit Party is liable as an indemnitor and whether or not evidenced by a note or other instrument and indemnification obligations and other amounts (including, but not limited to, any interest accruing after the occurrence of a filing of a petition of bankruptcy under the Bankruptcy Code with respect to any Credit Party, regardless of whether such interest is an allowed claim under the Bankruptcy Code). In no event shall the Obligations include any Excluded Swap Obligations. In addition, for the avoidance of doubt, any obligation under any Permitted Bond Hedge Transaction or any Permitted Warrant Transaction shall not constitute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shall mean the U.S. Department of the Treasury’s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Operating Lease</w:t>
      </w:r>
      <w:r>
        <w:rPr>
          <w:rFonts w:ascii="Times New Roman;Times;Serif" w:hAnsi="Times New Roman;Times;Serif"/>
          <w:b w:val="false"/>
          <w:i w:val="false"/>
          <w:caps w:val="false"/>
          <w:smallCaps w:val="false"/>
          <w:sz w:val="20"/>
        </w:rPr>
        <w:t>” shall mean, as applied to any Person, any lease (including, without limitation, leases which may be terminated by the lessee at any time) of any property (whether real, personal or mixed) which is not a Capital Lease other than any such lease in which that Person is the lessor.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shall mean, with respect to any Person, the charter, articles or certificate of organization or incorporation (or equivalent thereof) and bylaws or other organizational or governing documents of such Person. In the event that any term or condition of this Agreement or any other Credit Document requires any Organizational Document to be certified by a secretary of state or similar governmental official, the reference to any such “Organizational Document” shall only be to a document of a type customarily certified by such governmental official.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Fee Letter</w:t>
      </w:r>
      <w:r>
        <w:rPr>
          <w:rFonts w:ascii="Times New Roman;Times;Serif" w:hAnsi="Times New Roman;Times;Serif"/>
          <w:b w:val="false"/>
          <w:i w:val="false"/>
          <w:caps w:val="false"/>
          <w:smallCaps w:val="false"/>
          <w:sz w:val="20"/>
        </w:rPr>
        <w:t>” shall mean the fee letter, dated June 21, 2024, between the Lead Borrower, JPMorgan Chase Bank, N.A. and Blackstone Alternative Credit Advisors LP, as amended, restated, amended and restated, extended, replaced,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Indebtedness</w:t>
      </w:r>
      <w:r>
        <w:rPr>
          <w:rFonts w:ascii="Times New Roman;Times;Serif" w:hAnsi="Times New Roman;Times;Serif"/>
          <w:b w:val="false"/>
          <w:i w:val="false"/>
          <w:caps w:val="false"/>
          <w:smallCaps w:val="false"/>
          <w:sz w:val="20"/>
        </w:rPr>
        <w:t>” shall have the meaning set forth in the definition of “Permitted Refinancing.”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Applicable Indebtedness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2.7(b)(vii)(B)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Parties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Revolving Commitment Percentage</w:t>
      </w:r>
      <w:r>
        <w:rPr>
          <w:rFonts w:ascii="Times New Roman;Times;Serif" w:hAnsi="Times New Roman;Times;Serif"/>
          <w:b w:val="false"/>
          <w:i w:val="false"/>
          <w:caps w:val="false"/>
          <w:smallCaps w:val="false"/>
          <w:sz w:val="20"/>
        </w:rPr>
        <w:t xml:space="preserve">” shall mean, for any Lender, the percentage identified as its Other Revolving Commitment Percentage in the Refinancing Amendment pursuant to which such Lender provided Credit Agreement Refinancing Indebtedness, as such percentage may be modified in connection with any assignment made in accordance with the provisions of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Revolving Commitments</w:t>
      </w:r>
      <w:r>
        <w:rPr>
          <w:rFonts w:ascii="Times New Roman;Times;Serif" w:hAnsi="Times New Roman;Times;Serif"/>
          <w:b w:val="false"/>
          <w:i w:val="false"/>
          <w:caps w:val="false"/>
          <w:smallCaps w:val="false"/>
          <w:sz w:val="20"/>
        </w:rPr>
        <w:t>” shall mean, with respect to each Lender, the commitment, if any, of such Lender to provide Credit Agreement Refinancing Indebtedness in the form of a revolving credit facility pursuant to a Refinancing Amendment, as the same may be reduced or increased from time to time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Revolving Loans</w:t>
      </w:r>
      <w:r>
        <w:rPr>
          <w:rFonts w:ascii="Times New Roman;Times;Serif" w:hAnsi="Times New Roman;Times;Serif"/>
          <w:b w:val="false"/>
          <w:i w:val="false"/>
          <w:caps w:val="false"/>
          <w:smallCaps w:val="false"/>
          <w:sz w:val="20"/>
        </w:rPr>
        <w:t>” shall mean any revolving loans made under an Other Revolving Commitment established pursuant to a Refinancing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Term Commitment Percentage</w:t>
      </w:r>
      <w:r>
        <w:rPr>
          <w:rFonts w:ascii="Times New Roman;Times;Serif" w:hAnsi="Times New Roman;Times;Serif"/>
          <w:b w:val="false"/>
          <w:i w:val="false"/>
          <w:caps w:val="false"/>
          <w:smallCaps w:val="false"/>
          <w:sz w:val="20"/>
        </w:rPr>
        <w:t xml:space="preserve">” shall mean, for any Lender, the percentage identified as its Other Term Commitment Percentage in the Refinancing Amendment pursuant to which such Lender provided Credit Agreement Refinancing Indebtedness, as such percentage may be modified in connection with any assignment made in accordance with the provisions of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Term Commitments</w:t>
      </w:r>
      <w:r>
        <w:rPr>
          <w:rFonts w:ascii="Times New Roman;Times;Serif" w:hAnsi="Times New Roman;Times;Serif"/>
          <w:b w:val="false"/>
          <w:i w:val="false"/>
          <w:caps w:val="false"/>
          <w:smallCaps w:val="false"/>
          <w:sz w:val="20"/>
        </w:rPr>
        <w:t>” shall mean, with respect to each Lender, the commitment, if any, of such Lender to provide Credit Agreement Refinancing Indebtedness in the form of a term loan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Refinancing Amendment, as the same may be reduced or increased from time to time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Term Loans</w:t>
      </w:r>
      <w:r>
        <w:rPr>
          <w:rFonts w:ascii="Times New Roman;Times;Serif" w:hAnsi="Times New Roman;Times;Serif"/>
          <w:b w:val="false"/>
          <w:i w:val="false"/>
          <w:caps w:val="false"/>
          <w:smallCaps w:val="false"/>
          <w:sz w:val="20"/>
        </w:rPr>
        <w:t>” shall mean any term loans made under an Other Term Commitment established pursuant to a Refinancing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Bank Funding Rate</w:t>
      </w:r>
      <w:r>
        <w:rPr>
          <w:rFonts w:ascii="Times New Roman;Times;Serif" w:hAnsi="Times New Roman;Times;Serif"/>
          <w:b w:val="false"/>
          <w:i w:val="false"/>
          <w:caps w:val="false"/>
          <w:smallCaps w:val="false"/>
          <w:sz w:val="20"/>
        </w:rPr>
        <w:t>” shall mean,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9.6(d)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9.6(d)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Participation Interest</w:t>
      </w:r>
      <w:r>
        <w:rPr>
          <w:rFonts w:ascii="Times New Roman;Times;Serif" w:hAnsi="Times New Roman;Times;Serif"/>
          <w:b w:val="false"/>
          <w:i w:val="false"/>
          <w:caps w:val="false"/>
          <w:smallCaps w:val="false"/>
          <w:sz w:val="20"/>
        </w:rPr>
        <w:t xml:space="preserve">” shall mean a participation interest purchased by a Revolving Lender in LOC Obligations as provided in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and in Swingline Loans as provided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 Licenses</w:t>
      </w:r>
      <w:r>
        <w:rPr>
          <w:rFonts w:ascii="Times New Roman;Times;Serif" w:hAnsi="Times New Roman;Times;Serif"/>
          <w:b w:val="false"/>
          <w:i w:val="false"/>
          <w:caps w:val="false"/>
          <w:smallCaps w:val="false"/>
          <w:sz w:val="20"/>
        </w:rPr>
        <w:t>” shall mean any agreement, whether written or oral, providing for the grant by or to a Person of any right to manufacture, use or sell any invention covered by a Patent.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shall mean (a) all letters patent of the United States or any other country, now existing or hereafter arising, and all improvement patents, reissues, reexaminations, patents of additions, renewals and extensions thereof and (b) all applications for letters patent of the United States or any other country and all provisionals, divisions, continuations and continuations-in-part and substitutes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shall mean the Uniting and Strengthening America by Providing Appropriate Tools Required to Intercept and Obstruct Terrorism (USA PATRIOT ACT) Act of 2001 (Title III of Pub. L. No. 107-56 (signed into law October 26, 2001)), as amended or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Event of Default</w:t>
      </w:r>
      <w:r>
        <w:rPr>
          <w:rFonts w:ascii="Times New Roman;Times;Serif" w:hAnsi="Times New Roman;Times;Serif"/>
          <w:b w:val="false"/>
          <w:i w:val="false"/>
          <w:caps w:val="false"/>
          <w:smallCaps w:val="false"/>
          <w:sz w:val="20"/>
        </w:rPr>
        <w:t xml:space="preserve">” shall mean an Event of Default specified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8.20(b)(x)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8.20(a)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shall mean the Pension Benefit Guaranty Corporation established pursuant to Subtitle A of Title IV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Permitted Target Indebtedness</w:t>
      </w:r>
      <w:r>
        <w:rPr>
          <w:rFonts w:ascii="Times New Roman;Times;Serif" w:hAnsi="Times New Roman;Times;Serif"/>
          <w:b w:val="false"/>
          <w:i w:val="false"/>
          <w:caps w:val="false"/>
          <w:smallCaps w:val="false"/>
          <w:sz w:val="20"/>
        </w:rPr>
        <w:t xml:space="preserve">” shall mean (a) Indebtedness of the Company and its Subsidiaries set forth on </w:t>
      </w:r>
      <w:r>
        <w:rPr>
          <w:rFonts w:ascii="Times New Roman;Times;Serif" w:hAnsi="Times New Roman;Times;Serif"/>
          <w:b w:val="false"/>
          <w:i w:val="false"/>
          <w:caps w:val="false"/>
          <w:smallCaps w:val="false"/>
          <w:sz w:val="20"/>
          <w:u w:val="single"/>
        </w:rPr>
        <w:t>Schedule 1.1(c)</w:t>
      </w:r>
      <w:r>
        <w:rPr>
          <w:rFonts w:ascii="Times New Roman;Times;Serif" w:hAnsi="Times New Roman;Times;Serif"/>
          <w:b w:val="false"/>
          <w:i w:val="false"/>
          <w:caps w:val="false"/>
          <w:smallCaps w:val="false"/>
          <w:sz w:val="20"/>
        </w:rPr>
        <w:t xml:space="preserve"> hereto, (b) Indebtedness of the Company and its Subsidiaries that is permitted to remain in effect on and after the Acquisition Closing Date pursuant to the terms of the Acquisition Agreement as in effect on the Closing Date and (c) ordinary course capital leases, purchase money Indebtedness and deferred purchase price obligations of the Company and its Subsidiaries that are outstanding on the Acquisition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Perfection Certificate</w:t>
      </w:r>
      <w:r>
        <w:rPr>
          <w:rFonts w:ascii="Times New Roman;Times;Serif" w:hAnsi="Times New Roman;Times;Serif"/>
          <w:b w:val="false"/>
          <w:i w:val="false"/>
          <w:caps w:val="false"/>
          <w:smallCaps w:val="false"/>
          <w:sz w:val="20"/>
        </w:rPr>
        <w:t xml:space="preserve">” shall mean a certificate substantially in the form of </w:t>
      </w:r>
      <w:r>
        <w:rPr>
          <w:rFonts w:ascii="Times New Roman;Times;Serif" w:hAnsi="Times New Roman;Times;Serif"/>
          <w:b w:val="false"/>
          <w:i w:val="false"/>
          <w:caps w:val="false"/>
          <w:smallCaps w:val="false"/>
          <w:sz w:val="20"/>
          <w:u w:val="single"/>
        </w:rPr>
        <w:t>Exhibit 1.1(b)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Perfection Requirements</w:t>
      </w:r>
      <w:r>
        <w:rPr>
          <w:rFonts w:ascii="Times New Roman;Times;Serif" w:hAnsi="Times New Roman;Times;Serif"/>
          <w:b w:val="false"/>
          <w:i w:val="false"/>
          <w:caps w:val="false"/>
          <w:smallCaps w:val="false"/>
          <w:sz w:val="20"/>
        </w:rPr>
        <w:t>” shall mean the filing of a Uniform Commercial Code financing statement or, with respect to the Lead Borrower and its Subsidiaries that are Credit Parties, the delivery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certificates (and related stock powers);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stock certificates or equivalent certificates of the Company and its Subsidiaries will only be required to be delivered on the Acquisition Closing Date to the extent that such stock certificates or equivalent certificates are in the Lead Borrower’s actual possession on the Acquisition Closing Date after its use of commercially reasonable efforts to obtain them and will otherwise be delivered pursuant to </w:t>
      </w:r>
      <w:r>
        <w:rPr>
          <w:rFonts w:ascii="Times New Roman;Times;Serif" w:hAnsi="Times New Roman;Times;Serif"/>
          <w:b w:val="false"/>
          <w:i w:val="false"/>
          <w:caps w:val="false"/>
          <w:smallCaps w:val="false"/>
          <w:sz w:val="20"/>
          <w:u w:val="single"/>
        </w:rPr>
        <w:t>Section 5.15(e)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w:t>
      </w:r>
      <w:r>
        <w:rPr>
          <w:rFonts w:ascii="Times New Roman;Times;Serif" w:hAnsi="Times New Roman;Times;Serif"/>
          <w:b w:val="false"/>
          <w:i w:val="false"/>
          <w:caps w:val="false"/>
          <w:smallCaps w:val="false"/>
          <w:sz w:val="20"/>
        </w:rPr>
        <w:t>” shall mean, with respect to any Person, any permit, approval, consent, clearance, authorization, license, registration, accreditation, certificate, certification, certificate of need, concession, grant, franchise, variance or permission from, and any other contractual obligation with, any Governmental Authority, in each case whether or not having the force of law and applicable to or binding upon such Person or any of its property or Products or to which such Person or any of its property or Products is subject, including without limitation all Registrations and all Health Care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shall mean an acquisition or any series of related acquisitions by the Lead Borrower or any Restricted Subsidiary of (a) all or substantially all of the assets or a majority of the outstanding Voting Stock or economic interests of a Person, (b) a Person by a merger, amalgamation or consolidation or any other combination with such Person or (c) any division, line of business or other business unit (including new drug applications or abbreviated new drug applications, together with associated inventory in the ordinary course of business) of a Person (such Person or such division, line of business or other business unit of such Person shall be referred to herein as the “</w:t>
      </w:r>
      <w:r>
        <w:rPr>
          <w:rFonts w:ascii="Times New Roman;Times;Serif" w:hAnsi="Times New Roman;Times;Serif"/>
          <w:b w:val="false"/>
          <w:i w:val="false"/>
          <w:caps w:val="false"/>
          <w:smallCaps w:val="false"/>
          <w:sz w:val="20"/>
          <w:u w:val="single"/>
        </w:rPr>
        <w:t>Target</w:t>
      </w:r>
      <w:r>
        <w:rPr>
          <w:rFonts w:ascii="Times New Roman;Times;Serif" w:hAnsi="Times New Roman;Times;Serif"/>
          <w:b w:val="false"/>
          <w:i w:val="false"/>
          <w:caps w:val="false"/>
          <w:smallCaps w:val="false"/>
          <w:sz w:val="20"/>
        </w:rPr>
        <w:t xml:space="preserve">”), in each case that is a type of business (or assets used in a type of business) permitted to be engaged in by the Lead Borrower and its Restricted Subsidiaries pursuant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in each case so long 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the provisions of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with respect to Limited Condition Transactions, no Event of Default shall then exist or would exist after giving effect thereto;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after giving effect to such acquisition on a Pro Forma Basis, the Lead Borrower is in compliance with the Financial Covenants as of the last day of the most recently ended Test Period (subject to the provisions of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with respect to Limited Condition Transactions);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the provisions of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with respect to Limited Condition Transactions, the Administrative Agent, on behalf of the Secured Parties, shall have received (or shall receive in connection with the closing of such acquisition) a first priority perfected security interest in all property, subject to any Permitted Liens (including, without limitation, Equity Interests) acquired with respect to the Target in accordance with the terms of </w:t>
      </w:r>
      <w:r>
        <w:rPr>
          <w:rFonts w:ascii="Times New Roman;Times;Serif" w:hAnsi="Times New Roman;Times;Serif"/>
          <w:b w:val="false"/>
          <w:i w:val="false"/>
          <w:caps w:val="false"/>
          <w:smallCaps w:val="false"/>
          <w:sz w:val="20"/>
          <w:u w:val="single"/>
        </w:rPr>
        <w:t>Sections 5.10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5.12</w:t>
      </w:r>
      <w:r>
        <w:rPr>
          <w:rFonts w:ascii="Times New Roman;Times;Serif" w:hAnsi="Times New Roman;Times;Serif"/>
          <w:b w:val="false"/>
          <w:i w:val="false"/>
          <w:caps w:val="false"/>
          <w:smallCaps w:val="false"/>
          <w:sz w:val="20"/>
        </w:rPr>
        <w:t>, in each case, within the time periods required thereby;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aggregate amount of consideration paid by the Lead Borrower and its Restricted Subsidiaries since the Closing Date for (i) the Equity Interests of any Person that does not become a Guarantor and (ii) in the case of an asset acquisition, assets that are not acquired by a Borrower or any Guarantor, when taken together with the total consideration for all such Persons and assets so acquired after the Closing Date, shall not exceed the greater of $54,000,000 and 30.0% of Consolidated EBITDA for the most recently ended Test Period.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Bond Hedge Transaction</w:t>
      </w:r>
      <w:r>
        <w:rPr>
          <w:rFonts w:ascii="Times New Roman;Times;Serif" w:hAnsi="Times New Roman;Times;Serif"/>
          <w:b w:val="false"/>
          <w:i w:val="false"/>
          <w:caps w:val="false"/>
          <w:smallCaps w:val="false"/>
          <w:sz w:val="20"/>
        </w:rPr>
        <w:t>” shall mean any bond hedge, call or capped call option (or substantively equivalent derivative transaction) relating to the Lead Borrower’s common stock (or other securities or property following a merger event, reclassification or other change of the common stock of the Lead Borrower) purchased by the Lead Borrower or any Subsidiary in connection with the issuance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Convertible Notes and settled in common stock of the Lead Borrower (or such other securities or property), cash or a combination thereof (such amount of cash determined by reference to the price of the Lead Borrower’s common stock or such other securities or property), and cash in lieu of fractional shares of common stock of the Lead Borrower, including as may be amended or replaced from time to time, including through a novation of the counterparty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purchase of any such Permitted Bond Hedge Transaction is made with, and the purchase price thereof less the proceeds received by the Lead Borrower from the sale of any substantially concurrently executed Permitted Warrant Transaction, does not exceed the net proceeds received by the Lead Borrower or any Subsidiary in connection with the issuance of any Convertible Notes;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the other terms, conditions and covenants of each such transaction shall be such as are customary for transactions of such type (as determined by the Lead Borrower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Refinancing</w:t>
      </w:r>
      <w:r>
        <w:rPr>
          <w:rFonts w:ascii="Times New Roman;Times;Serif" w:hAnsi="Times New Roman;Times;Serif"/>
          <w:b w:val="false"/>
          <w:i w:val="false"/>
          <w:caps w:val="false"/>
          <w:smallCaps w:val="false"/>
          <w:sz w:val="20"/>
        </w:rPr>
        <w:t>” shall mean, with respect to any Indebtedness (the “</w:t>
      </w:r>
      <w:r>
        <w:rPr>
          <w:rFonts w:ascii="Times New Roman;Times;Serif" w:hAnsi="Times New Roman;Times;Serif"/>
          <w:b w:val="false"/>
          <w:i w:val="false"/>
          <w:caps w:val="false"/>
          <w:smallCaps w:val="false"/>
          <w:sz w:val="20"/>
          <w:u w:val="single"/>
        </w:rPr>
        <w:t>Original Indebtedness</w:t>
      </w:r>
      <w:r>
        <w:rPr>
          <w:rFonts w:ascii="Times New Roman;Times;Serif" w:hAnsi="Times New Roman;Times;Serif"/>
          <w:b w:val="false"/>
          <w:i w:val="false"/>
          <w:caps w:val="false"/>
          <w:smallCaps w:val="false"/>
          <w:sz w:val="20"/>
        </w:rPr>
        <w:t xml:space="preserve">”), any modification, refinancing, refunding, replacement, renewal or extension of such Original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principal amount (or accreted value, if applicable) thereof does not exceed the principal amount (or accreted value, if applicable) of the Original Indebtedness so modified, refinanced, refunded, replaced, renewed or extended except by an amount equal to unpaid accrued interest, penalties and premiums (including tender premiums)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other amounts and fees (including commitment, underwriting, arrangement and similar fees, other reasonable and customary fees), commissions and expenses incurred, in connection with such modification, refinancing, refunding, replacement, renewal or extension (including upfront fees, original issue discount or initial yield payments), (b) other than with respect to a Permitted Refinancing in respect of Indebtedness permitted pursuant to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Indebtedness resulting from such modification, refinancing, refunding, replaced, renewal or extension has a final maturity date equal to or later than the final maturity date of, and has a Weighted Average Life to Maturity equal to or greater than the Weighted Average Life to Maturity of, the Original Indebtedness being modified, refinanced, refunded, replaced, renewed or extended, (c) if the Original Indebtedness being modified, refinanced, refunded, replaced, renewed or extended is subordinated in right of payment to the Credit Party Obligations, the Indebtedness resulting from such modification, refinancing, refunding, renewal or extension is subordinated in right of payment to the Credit Party Obligations on terms at least as favorable to the Lenders, taken as a whole, as those contained in the documentation governing the Indebtedness being modified, refinanced, refunded, renewed or extended, (d) if the Original Indebtedness being modified, refinanced, refunded, replaced, renewed or extended is secured on a subordinated or a junior basis to the Credit Party Obligations and/or subject to any intercreditor arrangements for the benefit of the Lenders, the Indebtedness resulting from such modification, refinancing, refunding, renewal or extension is secured and subject to intercreditor arrangements on terms at least as favorable to the Lenders, taken as a whole, as those contained in the documentation governing the Original Indebtedness being modified, refinanced, refunded, replaced, renewed or extended, (e) if the Original Indebtedness being modified, refinanced, refunded, replaced, renewed or extended is unsecured, the Indebtedness resulting from such modification, refinancing, refunding, replacement, renewal or extension is unsecured, (f) if the Indebtedness being modified, refinanced, refunded, renewed or extended is permitted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6.1(p)</w:t>
      </w:r>
      <w:r>
        <w:rPr>
          <w:rFonts w:ascii="Times New Roman;Times;Serif" w:hAnsi="Times New Roman;Times;Serif"/>
          <w:b w:val="false"/>
          <w:i w:val="false"/>
          <w:caps w:val="false"/>
          <w:smallCaps w:val="false"/>
          <w:sz w:val="20"/>
        </w:rPr>
        <w:t>, the covenants, events of default, security and guarantees of the Indebtedness resulting from such modification, refinancing, refunding, renewal or extension are not, taken as a whole, materially less favorable to the Credit Parties or the Lenders than the terms and conditions of the Indebtedness being modified, refinanced, refunded, renewed or extended (except for covenants or other provisions applicable exclusively to periods commencing after the Latest Maturity Date at the time such Indebtedness is incurred), and (g) the Indebtedness resulting from such modification, refinancing, refunding, replaced, renewal or extension shall not constitute an obligation (including pursuant to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guarantee) of any Subsidiary that shall not have been (or, in the case of after-acquired Subsidiaries, shall not have been required to become pursuant to the terms of the Original Indebtedness) an obligor in respect of such Original Indebtedness. For the avoidance of doubt, it is understood that a Permitted Refinancing may constitute a portion of an issuance of Indebtedness in excess of the amount of such Permitted Refinancing;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excess amount is otherwise permitted to be incurred under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Warrant Transaction</w:t>
      </w:r>
      <w:r>
        <w:rPr>
          <w:rFonts w:ascii="Times New Roman;Times;Serif" w:hAnsi="Times New Roman;Times;Serif"/>
          <w:b w:val="false"/>
          <w:i w:val="false"/>
          <w:caps w:val="false"/>
          <w:smallCaps w:val="false"/>
          <w:sz w:val="20"/>
        </w:rPr>
        <w:t xml:space="preserve">” shall mean any call option, warrant or right to purchase (or substantively equivalent derivative transaction) relating to the Lead Borrower’s common stock (or other securities or property following a merger event, reclassification or other change of the common stock of the Lead Borrower) sold by the Lead Borrower substantially concurrently with any purchase by the Lead Borrower of a Permitted Bond Hedge Transaction and settled in common stock of the Lead Borrower (or such other securities or property), cash or a combination thereof (such amount of cash determined by reference to the price of the Lead Borrower’s common stock or such other securities or property), and cash in lieu of fractional shares of common stock of the Lead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terms, conditions and covenants of each such transaction shall be such as are customary for transactions of such type (as determined by the Lead Borrower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natural person, corporation, limited liability company, trust, joint venture, association, company, partnership, Governmental Authority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 Regulations</w:t>
      </w:r>
      <w:r>
        <w:rPr>
          <w:rFonts w:ascii="Times New Roman;Times;Serif" w:hAnsi="Times New Roman;Times;Serif"/>
          <w:b w:val="false"/>
          <w:i w:val="false"/>
          <w:caps w:val="false"/>
          <w:smallCaps w:val="false"/>
          <w:sz w:val="20"/>
        </w:rPr>
        <w:t xml:space="preserve">” shall mean 29 CFR § 2510.3-101 et seq., as modified by </w:t>
      </w:r>
      <w:r>
        <w:rPr>
          <w:rFonts w:ascii="Times New Roman;Times;Serif" w:hAnsi="Times New Roman;Times;Serif"/>
          <w:b w:val="false"/>
          <w:i w:val="false"/>
          <w:caps w:val="false"/>
          <w:smallCaps w:val="false"/>
          <w:sz w:val="20"/>
          <w:u w:val="single"/>
        </w:rPr>
        <w:t>Section 3(42)</w:t>
      </w:r>
      <w:r>
        <w:rPr>
          <w:rFonts w:ascii="Times New Roman;Times;Serif" w:hAnsi="Times New Roman;Times;Serif"/>
          <w:b w:val="false"/>
          <w:i w:val="false"/>
          <w:caps w:val="false"/>
          <w:smallCaps w:val="false"/>
          <w:sz w:val="20"/>
        </w:rPr>
        <w:t xml:space="preserve"> of ERISA,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shall mean Debt Domain, Intralinks, Syndtrak, ClearPar or a substantially similar electronic transmission system chosen by the Administrative Agent to be its electronic transmission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Pledge Agreement</w:t>
      </w:r>
      <w:r>
        <w:rPr>
          <w:rFonts w:ascii="Times New Roman;Times;Serif" w:hAnsi="Times New Roman;Times;Serif"/>
          <w:b w:val="false"/>
          <w:i w:val="false"/>
          <w:caps w:val="false"/>
          <w:smallCaps w:val="false"/>
          <w:sz w:val="20"/>
        </w:rPr>
        <w:t>” shall mean the Pledge Agreement, dated as of the Closing Date, by the Credit Parties in favor of the Administrative Agent, for the benefit of the Secured Parties, as the same may from time to time be amended, modified, extended, restated, replaced, or supplemented from time to time in accordance with the terms hereof and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Equity Agreement</w:t>
      </w:r>
      <w:r>
        <w:rPr>
          <w:rFonts w:ascii="Times New Roman;Times;Serif" w:hAnsi="Times New Roman;Times;Serif"/>
          <w:b w:val="false"/>
          <w:i w:val="false"/>
          <w:caps w:val="false"/>
          <w:smallCaps w:val="false"/>
          <w:sz w:val="20"/>
        </w:rPr>
        <w:t>” shall mean that certain Equity Commitment and Investment Agreement, dated as of March 8, 2021, by and between the Lead Borrower and Ampersand 2020 Limited Partnership, relating to the Lead Borrower’s issuance of preferred stock designated as “</w:t>
      </w:r>
      <w:r>
        <w:rPr>
          <w:rFonts w:ascii="Times New Roman;Times;Serif" w:hAnsi="Times New Roman;Times;Serif"/>
          <w:b w:val="false"/>
          <w:i w:val="false"/>
          <w:caps w:val="false"/>
          <w:smallCaps w:val="false"/>
          <w:sz w:val="20"/>
          <w:u w:val="single"/>
        </w:rPr>
        <w:t>Series A Convertible Preferred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xml:space="preserve">” shall mean the rate of interest last quoted by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as the “Prime Rate” in the U.S. or, if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Basis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 Forma Compliance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 Forma Effect</w:t>
      </w:r>
      <w:r>
        <w:rPr>
          <w:rFonts w:ascii="Times New Roman;Times;Serif" w:hAnsi="Times New Roman;Times;Serif"/>
          <w:b w:val="false"/>
          <w:i w:val="false"/>
          <w:caps w:val="false"/>
          <w:smallCaps w:val="false"/>
          <w:sz w:val="20"/>
        </w:rPr>
        <w:t xml:space="preserve">” shall mean, with respect to compliance with any test or covenant or calculation of any ratio hereunder, the determination or calculation of such test, covenant or ratio (including in connection with Specified Transactions) in accordance with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Financial Statements</w:t>
      </w:r>
      <w:r>
        <w:rPr>
          <w:rFonts w:ascii="Times New Roman;Times;Serif" w:hAnsi="Times New Roman;Times;Serif"/>
          <w:b w:val="false"/>
          <w:i w:val="false"/>
          <w:caps w:val="false"/>
          <w:smallCaps w:val="false"/>
          <w:sz w:val="20"/>
        </w:rPr>
        <w:t>” shall mean a pro forma Consolidated balance sheet and related pro forma Consolidated statement of income of the Lead Borrower for the trailing twelve-month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ended on the last day of and for the fiscal quarter or fiscal year, as applicable, with respect to which the most recent financial statements were delivered pursuant to clauses (a) or (b) of the definition of Historical Financial Statements, as applicable, prepared immediately after giving effect to the Transactions, as if the Transactions had occurred as of such date (in the case of the balance sheet) or at the beginning of such period (in the case of the income statement), which need not be prepared in compliance with Regulation S-X of the Securities Act of 1933, as amended, or include adjustments for purchase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Products</w:t>
      </w:r>
      <w:r>
        <w:rPr>
          <w:rFonts w:ascii="Times New Roman;Times;Serif" w:hAnsi="Times New Roman;Times;Serif"/>
          <w:b w:val="false"/>
          <w:i w:val="false"/>
          <w:caps w:val="false"/>
          <w:smallCaps w:val="false"/>
          <w:sz w:val="20"/>
        </w:rPr>
        <w:t>” shall mean any item or any service that is designed, created, manufactured, managed, performed, or otherwise used, offered, or handled by or on behalf of the Lead Borrower or any of its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3.10(a)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Change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9.1(f)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shall mean a prohibited transaction class exemption issued by the U.S. Department of Labor, as any such exemption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Health Laws</w:t>
      </w:r>
      <w:r>
        <w:rPr>
          <w:rFonts w:ascii="Times New Roman;Times;Serif" w:hAnsi="Times New Roman;Times;Serif"/>
          <w:b w:val="false"/>
          <w:i w:val="false"/>
          <w:caps w:val="false"/>
          <w:smallCaps w:val="false"/>
          <w:sz w:val="20"/>
        </w:rPr>
        <w:t>” shall mean all applicable Requirements of Law relating to the procurement, development, manufacture, production, analysis, distribution, dispensing, importation, exportation, use, handling, quality, sale, or promotion of any drug, medical device, food, dietary supplement, or other product (including, without limitation, any ingredient or component of the foregoing products) subject to regulation under the Federal Food, Drug, and Cosmetic Act (21 U.S.C. et seq.) and similar state laws, controlled substances laws, pharmacy laws, or consumer product safety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ECP Guarantor</w:t>
      </w:r>
      <w:r>
        <w:rPr>
          <w:rFonts w:ascii="Times New Roman;Times;Serif" w:hAnsi="Times New Roman;Times;Serif"/>
          <w:b w:val="false"/>
          <w:i w:val="false"/>
          <w:caps w:val="false"/>
          <w:smallCaps w:val="false"/>
          <w:sz w:val="20"/>
        </w:rPr>
        <w:t>” shall mean, in respect of any Swap Obligation, each Guarantor that constitutes an “eligible contract participant” as defined under the Commodity Exchange Act or any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Equity Interests</w:t>
      </w:r>
      <w:r>
        <w:rPr>
          <w:rFonts w:ascii="Times New Roman;Times;Serif" w:hAnsi="Times New Roman;Times;Serif"/>
          <w:b w:val="false"/>
          <w:i w:val="false"/>
          <w:caps w:val="false"/>
          <w:smallCaps w:val="false"/>
          <w:sz w:val="20"/>
        </w:rPr>
        <w:t>” shall mean Equity Interests of any Person that are not Disqualified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shall mean (a) the Administrative Agent, (b) any Lender or (c) any Issuing Lender,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Recovery Event</w:t>
      </w:r>
      <w:r>
        <w:rPr>
          <w:rFonts w:ascii="Times New Roman;Times;Serif" w:hAnsi="Times New Roman;Times;Serif"/>
          <w:b w:val="false"/>
          <w:i w:val="false"/>
          <w:caps w:val="false"/>
          <w:smallCaps w:val="false"/>
          <w:sz w:val="20"/>
        </w:rPr>
        <w:t>” shall mean the receipt by the Lead Borrower or its Restricted Subsidiaries of any cash insurance proceeds or condemnation award payable by reason of theft, loss, physical destruction or damage, taking or similar event with respect to any of their respective property 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Time</w:t>
      </w:r>
      <w:r>
        <w:rPr>
          <w:rFonts w:ascii="Times New Roman;Times;Serif" w:hAnsi="Times New Roman;Times;Serif"/>
          <w:b w:val="false"/>
          <w:i w:val="false"/>
          <w:caps w:val="false"/>
          <w:smallCaps w:val="false"/>
          <w:sz w:val="20"/>
        </w:rPr>
        <w:t>” with respect to any setting of the then-current Benchmark shall mean (i) if such Benchmark is the Term SOFR Rate, 5:00 a.m. (Chicago time) on the day that is two (2) U.S. Government Securities Business Days preceding the date of such setting, (ii) if, following a Benchmark Transition Event and a Benchmark Replacement Date with respect to the Term SOFR Rate, such Benchmark is Daily Simple SOFR, then four (4) U.S. Government Securities Business Days prior to such setting or (iii) if such Benchmark is none of the Term SOFR Rate or Daily Simple SOFR, the time determined by the Administrative Agent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Refinanced Debt</w:t>
      </w:r>
      <w:r>
        <w:rPr>
          <w:rFonts w:ascii="Times New Roman;Times;Serif" w:hAnsi="Times New Roman;Times;Serif"/>
          <w:b w:val="false"/>
          <w:i w:val="false"/>
          <w:caps w:val="false"/>
          <w:smallCaps w:val="false"/>
          <w:sz w:val="20"/>
        </w:rPr>
        <w:t>” shall have the meaning set forth in the definition of “Credit Agreement Refinancing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Amendment</w:t>
      </w:r>
      <w:r>
        <w:rPr>
          <w:rFonts w:ascii="Times New Roman;Times;Serif" w:hAnsi="Times New Roman;Times;Serif"/>
          <w:b w:val="false"/>
          <w:i w:val="false"/>
          <w:caps w:val="false"/>
          <w:smallCaps w:val="false"/>
          <w:sz w:val="20"/>
        </w:rPr>
        <w:t xml:space="preserve">” shall mean an amendment to this Agreement in form and substance reasonably satisfactory to the Administrative Agent and the Lead Borrower executed by each of (a) the Borrowers, (b) the Administrative Agent and (c) each Additional Lender and Lender that agrees to provide any portion of the Credit Agreement Refinancing Indebtedness being incurred pursuant thereto, in accordance with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Notes</w:t>
      </w:r>
      <w:r>
        <w:rPr>
          <w:rFonts w:ascii="Times New Roman;Times;Serif" w:hAnsi="Times New Roman;Times;Serif"/>
          <w:b w:val="false"/>
          <w:i w:val="false"/>
          <w:caps w:val="false"/>
          <w:smallCaps w:val="false"/>
          <w:sz w:val="20"/>
        </w:rPr>
        <w:t>” shall have the meaning set forth in the definition of “Credit Agreement Refinancing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Revolving Facility</w:t>
      </w:r>
      <w:r>
        <w:rPr>
          <w:rFonts w:ascii="Times New Roman;Times;Serif" w:hAnsi="Times New Roman;Times;Serif"/>
          <w:b w:val="false"/>
          <w:i w:val="false"/>
          <w:caps w:val="false"/>
          <w:smallCaps w:val="false"/>
          <w:sz w:val="20"/>
        </w:rPr>
        <w:t>” shall have the meaning set forth in the definition of “Credit Agreement Refinancing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Term Facility</w:t>
      </w:r>
      <w:r>
        <w:rPr>
          <w:rFonts w:ascii="Times New Roman;Times;Serif" w:hAnsi="Times New Roman;Times;Serif"/>
          <w:b w:val="false"/>
          <w:i w:val="false"/>
          <w:caps w:val="false"/>
          <w:smallCaps w:val="false"/>
          <w:sz w:val="20"/>
        </w:rPr>
        <w:t>” shall have the meaning set forth in the definition of “Credit Agreement Refinancing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Registrations</w:t>
      </w:r>
      <w:r>
        <w:rPr>
          <w:rFonts w:ascii="Times New Roman;Times;Serif" w:hAnsi="Times New Roman;Times;Serif"/>
          <w:b w:val="false"/>
          <w:i w:val="false"/>
          <w:caps w:val="false"/>
          <w:smallCaps w:val="false"/>
          <w:sz w:val="20"/>
        </w:rPr>
        <w:t>” shall mean all Permits and exemptions issued or allowed by any Governmental Authority (including but not limited to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and authorizations, pricing and reimbursement approvals, labeling approvals or their foreign equivalent, controlled substance registrations, pharmacy registrations, and wholesale distributor permits) held by, or applied by contract to, the Lead Borrower or any of its Restricted Subsidiaries, that are required for the research, development, manufacture, distribution, marketing, storage, transportation, use and sale of the Products of the Lead Borrower or any of its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 shall mean, collectively, activities and Products that are subject to Public Health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Reimbursement Obligation</w:t>
      </w:r>
      <w:r>
        <w:rPr>
          <w:rFonts w:ascii="Times New Roman;Times;Serif" w:hAnsi="Times New Roman;Times;Serif"/>
          <w:b w:val="false"/>
          <w:i w:val="false"/>
          <w:caps w:val="false"/>
          <w:smallCaps w:val="false"/>
          <w:sz w:val="20"/>
        </w:rPr>
        <w:t xml:space="preserve">” shall mean the obligation of the Borrowers to reimburse any Issuing Lender pursuant to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for amounts drawn under Letters of Credit issued by such Issuing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shall mean,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shall mean the Federal Reserve Board or the NYFRB, or a committee officially endorsed or convened by the Federal Reserve Board or the NYFRB,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Rate</w:t>
      </w:r>
      <w:r>
        <w:rPr>
          <w:rFonts w:ascii="Times New Roman;Times;Serif" w:hAnsi="Times New Roman;Times;Serif"/>
          <w:b w:val="false"/>
          <w:i w:val="false"/>
          <w:caps w:val="false"/>
          <w:smallCaps w:val="false"/>
          <w:sz w:val="20"/>
        </w:rPr>
        <w:t>” shall mean (i) with respect to any Term Benchmark Borrowing, the Adjusted Term SOFR Rate or (ii) with respect to any RFR Borrowing, the Adjusted Daily Simple SOFR,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Removal Effective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Reorganization</w:t>
      </w:r>
      <w:r>
        <w:rPr>
          <w:rFonts w:ascii="Times New Roman;Times;Serif" w:hAnsi="Times New Roman;Times;Serif"/>
          <w:b w:val="false"/>
          <w:i w:val="false"/>
          <w:caps w:val="false"/>
          <w:smallCaps w:val="false"/>
          <w:sz w:val="20"/>
        </w:rPr>
        <w:t xml:space="preserve">” shall mean, with respect to any Multiemployer Plan, the condition that such ERISA Plan is in reorganization within the meaning of such term as used in </w:t>
      </w:r>
      <w:r>
        <w:rPr>
          <w:rFonts w:ascii="Times New Roman;Times;Serif" w:hAnsi="Times New Roman;Times;Serif"/>
          <w:b w:val="false"/>
          <w:i w:val="false"/>
          <w:caps w:val="false"/>
          <w:smallCaps w:val="false"/>
          <w:sz w:val="20"/>
          <w:u w:val="single"/>
        </w:rPr>
        <w:t>Section 4241</w:t>
      </w:r>
      <w:r>
        <w:rPr>
          <w:rFonts w:ascii="Times New Roman;Times;Serif" w:hAnsi="Times New Roman;Times;Serif"/>
          <w:b w:val="false"/>
          <w:i w:val="false"/>
          <w:caps w:val="false"/>
          <w:smallCaps w:val="false"/>
          <w:sz w:val="20"/>
        </w:rPr>
        <w:t xml:space="preserve">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xml:space="preserve">” shall mean any of the events set forth in </w:t>
      </w:r>
      <w:r>
        <w:rPr>
          <w:rFonts w:ascii="Times New Roman;Times;Serif" w:hAnsi="Times New Roman;Times;Serif"/>
          <w:b w:val="false"/>
          <w:i w:val="false"/>
          <w:caps w:val="false"/>
          <w:smallCaps w:val="false"/>
          <w:sz w:val="20"/>
          <w:u w:val="single"/>
        </w:rPr>
        <w:t>Section 4043(c)</w:t>
      </w:r>
      <w:r>
        <w:rPr>
          <w:rFonts w:ascii="Times New Roman;Times;Serif" w:hAnsi="Times New Roman;Times;Serif"/>
          <w:b w:val="false"/>
          <w:i w:val="false"/>
          <w:caps w:val="false"/>
          <w:smallCaps w:val="false"/>
          <w:sz w:val="20"/>
        </w:rPr>
        <w:t xml:space="preserve"> of ERISA, other than those events as to which the thirty-day notice period is waived under PBGC Reg. §4043.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xml:space="preserve">” shall mean, at any time, Lenders having Total Credit Exposures representing more than fifty percent (50%) of the Total Credit Exposures of all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Total Credit Exposure of any Defaulting Lender shall be excluded in determining Required Lenders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Revolving Lenders</w:t>
      </w:r>
      <w:r>
        <w:rPr>
          <w:rFonts w:ascii="Times New Roman;Times;Serif" w:hAnsi="Times New Roman;Times;Serif"/>
          <w:b w:val="false"/>
          <w:i w:val="false"/>
          <w:caps w:val="false"/>
          <w:smallCaps w:val="false"/>
          <w:sz w:val="20"/>
        </w:rPr>
        <w:t xml:space="preserve">” shall mean, at any time, Revolving Lenders (other than Defaulting Lenders) having Revolving Credit Exposures and unused Revolving Commitments representing more than 50% of the aggregate Revolving Credit Exposures and unused Revolving Commitments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that the Revolving Credit Exposures and unused Revolving Commitments of Defaulting Lenders shall be excluded in the calculation of Required Revolving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 of Law</w:t>
      </w:r>
      <w:r>
        <w:rPr>
          <w:rFonts w:ascii="Times New Roman;Times;Serif" w:hAnsi="Times New Roman;Times;Serif"/>
          <w:b w:val="false"/>
          <w:i w:val="false"/>
          <w:caps w:val="false"/>
          <w:smallCaps w:val="false"/>
          <w:sz w:val="20"/>
        </w:rPr>
        <w:t>” shall mean, as to any Person, all international, foreign, Federal, state and local statutes, treaties, rules, guidelines, regulations, ordinances, codes, executive orders,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in each case applicable to or binding upon such Person or any of its property or to which such Person or any of its property is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Resignation Effective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shall mean an EEA Resolution Authority or, with respect to any UK Financial Institution, a UK Resolution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shall mean, for any Credit Party, the chief executive officer, the president or chief financial officer of such Credit Party and any additional responsible officer that is designated as such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Debt Payment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6.9(b)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Group Reporting Period</w:t>
      </w:r>
      <w:r>
        <w:rPr>
          <w:rFonts w:ascii="Times New Roman;Times;Serif" w:hAnsi="Times New Roman;Times;Serif"/>
          <w:b w:val="false"/>
          <w:i w:val="false"/>
          <w:caps w:val="false"/>
          <w:smallCaps w:val="false"/>
          <w:sz w:val="20"/>
        </w:rPr>
        <w:t>” shall mean any fiscal quarter or fiscal year of the Lead Borrower if, as of the end of such period, the combined revenues of the Unrestricted Subsidiaries exceed 20% of the combined revenues of the Lead Borrower and its consolidated Subsidiaries for the four quarter period then 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shall mean (a) any dividend or other distribution, direct or indirect, on account of any shares (or equivalent) of any class of Equity Interests of the Lead Borrower or any of its Restricted Subsidiaries, now or hereafter outstanding, (b) any redemption, retirement, sinking fund or similar payment, purchase or other acquisition for value, direct or indirect, of any shares (or equivalent) of any class of Equity Interests of the Lead Borrower or any of its Restricted Subsidiaries, now or hereafter outstanding, (c) any payment made to retire, or to obtain the surrender of, any outstanding warrants, options or other rights to acquire shares of any class of Equity Interests of the Lead Borrower or any of its Restricted Subsidiaries, now or hereafter outstanding, (d) the payment by the Lead Borrower or any of its Restricted Subsidiaries of any management, advisory or consulting fee to any Affiliate (excluding ordinary course investment banking fees and consulting fees) or (e) the payment of any extraordinary salary, bonus or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compensation to any Person who is directly or indirectly a significant partner, shareholder or owner of any such Person, to the extent such extraordinary salary, bonus or other form of compensation is not included in the corporate overhead of the Lead Borrower or such Restricted Subsidiary. For the avoidance of doubt none of (x) any payments of cash and/or deliveries in shares of Equity Interests (or other securities and/or property following a merger event, reclassification or other change of the Equity Interests) (and cash in lieu of fractional shares) pursuant to the terms of, or otherwise in performance of its obligations under, or any repurchase and/or exchange of, any Convertible Notes (including, without limitation, making payments of interest, principal or premium thereon, making payments due upon required repurchase thereof and/or making payments and deliveries upon conversion or settlement thereof), (y) the purchase of any Permitted Bond Hedge Transaction or any payment, exercise thereof and/or settlement thereof according to its terms or (z) any payments of cash and/or deliveries of Equity Interests (or other securities or property following a merger event, reclassification or other change of the Equity Interests) (and cash in lieu of fractional shares) in connection with any Permitted Warrant Transaction (including in connection with any exercise and/or early unwind or settlement thereof whether according to the terms of such Permitted Warrant Transaction or otherwise) shall constitute a “Restricted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Subsidiary</w:t>
      </w:r>
      <w:r>
        <w:rPr>
          <w:rFonts w:ascii="Times New Roman;Times;Serif" w:hAnsi="Times New Roman;Times;Serif"/>
          <w:b w:val="false"/>
          <w:i w:val="false"/>
          <w:caps w:val="false"/>
          <w:smallCaps w:val="false"/>
          <w:sz w:val="20"/>
        </w:rPr>
        <w:t>” shall mean any Subsidiary other than an Unrestricted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Returns</w:t>
      </w:r>
      <w:r>
        <w:rPr>
          <w:rFonts w:ascii="Times New Roman;Times;Serif" w:hAnsi="Times New Roman;Times;Serif"/>
          <w:b w:val="false"/>
          <w:i w:val="false"/>
          <w:caps w:val="false"/>
          <w:smallCaps w:val="false"/>
          <w:sz w:val="20"/>
        </w:rPr>
        <w:t>” shall mean, with respect to any Investment, any dividends, distributions, interest, fees, premiums, return of capital, repayment of principal, income, profits (from a Disposition or otherwise) and other amounts received or realized in respect of such Investment, including in connection with the disposition of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Revolver Extension Request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Revolver Extension Series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Commitment</w:t>
      </w:r>
      <w:r>
        <w:rPr>
          <w:rFonts w:ascii="Times New Roman;Times;Serif" w:hAnsi="Times New Roman;Times;Serif"/>
          <w:b w:val="false"/>
          <w:i w:val="false"/>
          <w:caps w:val="false"/>
          <w:smallCaps w:val="false"/>
          <w:sz w:val="20"/>
        </w:rPr>
        <w:t xml:space="preserve">” shall mean, with respect to each Revolving Lender, the commitment of such Revolving Lender to make Revolving Loans in an aggregate principal amount at any time outstanding up to an amount equal to such Revolving Lender’s Revolving Commitment Percentage as specified in </w:t>
      </w:r>
      <w:r>
        <w:rPr>
          <w:rFonts w:ascii="Times New Roman;Times;Serif" w:hAnsi="Times New Roman;Times;Serif"/>
          <w:b w:val="false"/>
          <w:i w:val="false"/>
          <w:caps w:val="false"/>
          <w:smallCaps w:val="false"/>
          <w:sz w:val="20"/>
          <w:u w:val="single"/>
        </w:rPr>
        <w:t>Schedule 2.1(a)</w:t>
      </w:r>
      <w:r>
        <w:rPr>
          <w:rFonts w:ascii="Times New Roman;Times;Serif" w:hAnsi="Times New Roman;Times;Serif"/>
          <w:b w:val="false"/>
          <w:i w:val="false"/>
          <w:caps w:val="false"/>
          <w:smallCaps w:val="false"/>
          <w:sz w:val="20"/>
        </w:rPr>
        <w:t xml:space="preserve">, or in the Assignment and Assumption pursuant to which such Lender became a Lender hereunder, as such percentage may be modified in connection with any assignment made in accordance with the provisions of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 as such amount may be reduced from time to time in accordance with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Commitment Percentage</w:t>
      </w:r>
      <w:r>
        <w:rPr>
          <w:rFonts w:ascii="Times New Roman;Times;Serif" w:hAnsi="Times New Roman;Times;Serif"/>
          <w:b w:val="false"/>
          <w:i w:val="false"/>
          <w:caps w:val="false"/>
          <w:smallCaps w:val="false"/>
          <w:sz w:val="20"/>
        </w:rPr>
        <w:t>” shall mean the Initial Revolving Commitment Percentage, the Incremental Revolving Commitment Percentage and/or the Other Revolving Commitment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Exposure</w:t>
      </w:r>
      <w:r>
        <w:rPr>
          <w:rFonts w:ascii="Times New Roman;Times;Serif" w:hAnsi="Times New Roman;Times;Serif"/>
          <w:b w:val="false"/>
          <w:i w:val="false"/>
          <w:caps w:val="false"/>
          <w:smallCaps w:val="false"/>
          <w:sz w:val="20"/>
        </w:rPr>
        <w:t>” shall mean, as to any Revolving Lender at any time, the aggregate principal amount at such time of its outstanding Revolving Loans and such Revolving Lender’s Applicable Percentage of the LOC Obligations and Swingline Loans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w:t>
      </w:r>
      <w:r>
        <w:rPr>
          <w:rFonts w:ascii="Times New Roman;Times;Serif" w:hAnsi="Times New Roman;Times;Serif"/>
          <w:b w:val="false"/>
          <w:i w:val="false"/>
          <w:caps w:val="false"/>
          <w:smallCaps w:val="false"/>
          <w:sz w:val="20"/>
        </w:rPr>
        <w:t>” shall mean the Revolving Commitments and the extensions of credit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 Increase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2.22(a)(i)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Lender</w:t>
      </w:r>
      <w:r>
        <w:rPr>
          <w:rFonts w:ascii="Times New Roman;Times;Serif" w:hAnsi="Times New Roman;Times;Serif"/>
          <w:b w:val="false"/>
          <w:i w:val="false"/>
          <w:caps w:val="false"/>
          <w:smallCaps w:val="false"/>
          <w:sz w:val="20"/>
        </w:rPr>
        <w:t>” shall mean, as of any date of determination, a Lender holding a Revolving Commitment, a Revolving Loan or a Participation Interest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 Note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Revolving Loan Notes</w:t>
      </w:r>
      <w:r>
        <w:rPr>
          <w:rFonts w:ascii="Times New Roman;Times;Serif" w:hAnsi="Times New Roman;Times;Serif"/>
          <w:b w:val="false"/>
          <w:i w:val="false"/>
          <w:caps w:val="false"/>
          <w:smallCaps w:val="false"/>
          <w:sz w:val="20"/>
        </w:rPr>
        <w:t xml:space="preserve">” shall mean the promissory notes of the Borrowers provided pursuant to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xml:space="preserve"> in favor of any of the Revolving Lenders evidencing the Revolving Loan provided by any such Revolving Lender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individually or collectively, as appropriate, as such promissory notes may be amended, modified, extended, restated, replaced,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Maturity Date</w:t>
      </w:r>
      <w:r>
        <w:rPr>
          <w:rFonts w:ascii="Times New Roman;Times;Serif" w:hAnsi="Times New Roman;Times;Serif"/>
          <w:b w:val="false"/>
          <w:i w:val="false"/>
          <w:caps w:val="false"/>
          <w:smallCaps w:val="false"/>
          <w:sz w:val="20"/>
        </w:rPr>
        <w:t xml:space="preserve">” shall mean (a) with respect to the Revolving Commitment established on the Closing Date (and Revolving Loans thereunder) and any Revolving Facility Increase established after the Closing Date (and Revolving Loans thereunder), the date that is five (5) years following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Convertible Notes remains outstanding on the date that is 91 days prior to the final maturity date of the Convertible Notes, the Revolving Maturity Date pursuant to this clause (a) shall instead be such date unless (i) the Lead Borrower and its Restricted Subsidiaries have Unrestricted Cash on such date in an amount equal to at least the principal amount of the then-outstanding Convertible Notes or (ii) the average Daily VWAP (as defined in the Convertible Notes Indenture) of the common stock of the Lead Borrower for the most recently ended thirty (30) trading days immediately prior to such date is at least 120% of the then applicable Conversion Price (as defined in the Convertible Notes Indenture) and (b) with respect to any Other Revolving Commitment and Other Revolving Loans, the final maturity date specified in the applicable Refinancing Amendment (or, in each case, with respect to any Revolving Lender that has extended the maturity of its Revolving Commitment pursuant to </w:t>
      </w:r>
      <w:r>
        <w:rPr>
          <w:rFonts w:ascii="Times New Roman;Times;Serif" w:hAnsi="Times New Roman;Times;Serif"/>
          <w:b w:val="false"/>
          <w:i w:val="false"/>
          <w:caps w:val="false"/>
          <w:smallCaps w:val="false"/>
          <w:sz w:val="20"/>
          <w:u w:val="single"/>
        </w:rPr>
        <w:t>Section 2.23(b)</w:t>
      </w:r>
      <w:r>
        <w:rPr>
          <w:rFonts w:ascii="Times New Roman;Times;Serif" w:hAnsi="Times New Roman;Times;Serif"/>
          <w:b w:val="false"/>
          <w:i w:val="false"/>
          <w:caps w:val="false"/>
          <w:smallCaps w:val="false"/>
          <w:sz w:val="20"/>
        </w:rPr>
        <w:t xml:space="preserve">, the extended maturity date set forth in the Revolver Extension Request delivered by the Lead Borrower and such Revolving Lender to the Administrative Agent pursuant to </w:t>
      </w:r>
      <w:r>
        <w:rPr>
          <w:rFonts w:ascii="Times New Roman;Times;Serif" w:hAnsi="Times New Roman;Times;Serif"/>
          <w:b w:val="false"/>
          <w:i w:val="false"/>
          <w:caps w:val="false"/>
          <w:smallCaps w:val="false"/>
          <w:sz w:val="20"/>
          <w:u w:val="single"/>
        </w:rPr>
        <w:t>Section 2.23(b)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if such date is not a Business Day, the Maturity Date shall be the next succeeding Business Day but, as to any specific Revolving Commitment, as the maturity of such Revolving Commitment shall have been extended by the holder thereof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Borrowing</w:t>
      </w:r>
      <w:r>
        <w:rPr>
          <w:rFonts w:ascii="Times New Roman;Times;Serif" w:hAnsi="Times New Roman;Times;Serif"/>
          <w:b w:val="false"/>
          <w:i w:val="false"/>
          <w:caps w:val="false"/>
          <w:smallCaps w:val="false"/>
          <w:sz w:val="20"/>
        </w:rPr>
        <w:t>” shall mean, as to any Borrowing, the RFR Loans comprising such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Loan</w:t>
      </w:r>
      <w:r>
        <w:rPr>
          <w:rFonts w:ascii="Times New Roman;Times;Serif" w:hAnsi="Times New Roman;Times;Serif"/>
          <w:b w:val="false"/>
          <w:i w:val="false"/>
          <w:caps w:val="false"/>
          <w:smallCaps w:val="false"/>
          <w:sz w:val="20"/>
        </w:rPr>
        <w:t>” shall mean a Loan that bears interest at a rate based on the Adjusted Daily Simple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2a-7</w:t>
      </w:r>
      <w:r>
        <w:rPr>
          <w:rFonts w:ascii="Times New Roman;Times;Serif" w:hAnsi="Times New Roman;Times;Serif"/>
          <w:b w:val="false"/>
          <w:i w:val="false"/>
          <w:caps w:val="false"/>
          <w:smallCaps w:val="false"/>
          <w:sz w:val="20"/>
        </w:rPr>
        <w:t>” shall have the meaning set forth in the definition of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shall mean S&amp;P Global Ratings, a Standard &amp; Poor’s Financial Services LLC business, a subsidiary of S&amp;P Global Inc., and any successor to its rating agency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Jurisdiction</w:t>
      </w:r>
      <w:r>
        <w:rPr>
          <w:rFonts w:ascii="Times New Roman;Times;Serif" w:hAnsi="Times New Roman;Times;Serif"/>
          <w:b w:val="false"/>
          <w:i w:val="false"/>
          <w:caps w:val="false"/>
          <w:smallCaps w:val="false"/>
          <w:sz w:val="20"/>
        </w:rPr>
        <w:t>” shall mean, at any time, a country, territory or geographical region which is itself the subject or target of any comprehensive or country/region-wide Sanctions (on the Closing Date, the so-called Donetsk People’s Republic, the so-called Luhansk People’s Republic, the Crimea, Zaporizhzhia and Kherson Regions of Ukraine, Cuba, Iran, North Korea and Syria).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shall mean any Person with whom dealings are restricted or prohibited under Sanctions, including: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20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listed in any Sanctions-related list of designated Persons maintained by the United States (including by the Office of Foreign Assets Control of the U.S. Department of the Treasury, the U.S. Department of State or the U.S. Department of Commerce), the United Nations Security Council, the European Union or any of its member states, or His Majesty’s Treasury of the United Kingdom;</w:t>
      </w:r>
    </w:p>
    <w:p>
      <w:pPr>
        <w:pStyle w:val="TextBody"/>
        <w:bidi w:val="0"/>
        <w:spacing w:before="0" w:after="0"/>
        <w:ind w:left="420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Person organized or resident in, or any governmental entity or governmental instrumentality of, a Sanctioned Jurisdiction; or</w:t>
      </w:r>
    </w:p>
    <w:p>
      <w:pPr>
        <w:pStyle w:val="TextBody"/>
        <w:bidi w:val="0"/>
        <w:spacing w:before="0" w:after="0"/>
        <w:ind w:left="4200" w:right="0" w:firstLine="1440"/>
        <w:jc w:val="both"/>
        <w:rPr>
          <w:caps w:val="false"/>
          <w:smallCaps w:val="false"/>
        </w:rPr>
      </w:pPr>
      <w:r>
        <w:rPr>
          <w:caps w:val="false"/>
          <w:smallCaps w:val="false"/>
        </w:rPr>
        <w:t> </w:t>
      </w:r>
    </w:p>
    <w:p>
      <w:pPr>
        <w:pStyle w:val="TextBody"/>
        <w:bidi w:val="0"/>
        <w:spacing w:before="0" w:after="0"/>
        <w:ind w:left="420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Person fifty percent (50%) or more directly or indirectly owned in the aggregate by, or controlled by, any Person(s) described in clauses (a) or (b) hereof.</w:t>
      </w:r>
    </w:p>
    <w:p>
      <w:pPr>
        <w:pStyle w:val="TextBody"/>
        <w:bidi w:val="0"/>
        <w:spacing w:before="0" w:after="0"/>
        <w:ind w:left="420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shall mean economic or financial sanctions or trade embargoes imposed, administered or enforced from time to time by (a) the U.S. government, including those administered by OFAC or the U.S. Department of State, (b) the United Nations Security Council, (c) the European Union, (d) any European Union member state, (e) His Majesty’s Treasury of the United Kingdom or (f) any other relevant sanctions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shall mean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Securities and Exchange Commission or any successor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shall mean the Administrative Agent, the Lenders, the Bank Product Providers and the Indemnitees.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together with any amendment thereto or replacement thereof and any rules or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Laws</w:t>
      </w:r>
      <w:r>
        <w:rPr>
          <w:rFonts w:ascii="Times New Roman;Times;Serif" w:hAnsi="Times New Roman;Times;Serif"/>
          <w:b w:val="false"/>
          <w:i w:val="false"/>
          <w:caps w:val="false"/>
          <w:smallCaps w:val="false"/>
          <w:sz w:val="20"/>
        </w:rPr>
        <w:t>” shall mean the Securities Act, the Exchange Act, Sarbanes-Oxley and the applicable accounting and auditing principles, rules, standards and practices promulgated, approved or incorporated by the SEC or the Public Company Accounting Oversight Board, as each of the foregoing may be amended and in effect on any applicable date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shall mean the Security Agreement, dated as of the Closing Date, by the Credit Parties in favor of the Administrative Agent, for the benefit of the Secured Parties, as amended, modified, extended, restated, replaced, or supplemented from time to time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Documents</w:t>
      </w:r>
      <w:r>
        <w:rPr>
          <w:rFonts w:ascii="Times New Roman;Times;Serif" w:hAnsi="Times New Roman;Times;Serif"/>
          <w:b w:val="false"/>
          <w:i w:val="false"/>
          <w:caps w:val="false"/>
          <w:smallCaps w:val="false"/>
          <w:sz w:val="20"/>
        </w:rPr>
        <w:t xml:space="preserve">” shall mean the Security Agreement, the Pledge Agreement and all other agreements, documents and instruments relating to, arising out of, or in any way connected with any of the foregoing documents or granting to the Administrative Agent, for the benefit of the Secured Parties, Liens or security interests to secure,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Credit Party Obligations whether now or hereafter executed and/or filed, each as may be amended from time to time in accordance with the terms hereof, executed and delivered in connection with the granting, attachment and perfection of the Administrative Agent’s security interests and liens arising thereunder, including, without limitation, UCC financing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 Convertible Preferred Stock</w:t>
      </w:r>
      <w:r>
        <w:rPr>
          <w:rFonts w:ascii="Times New Roman;Times;Serif" w:hAnsi="Times New Roman;Times;Serif"/>
          <w:b w:val="false"/>
          <w:i w:val="false"/>
          <w:caps w:val="false"/>
          <w:smallCaps w:val="false"/>
          <w:sz w:val="20"/>
        </w:rPr>
        <w:t>” shall have the meaning set forth in the definition of Preferred Equity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Single Employer Plan</w:t>
      </w:r>
      <w:r>
        <w:rPr>
          <w:rFonts w:ascii="Times New Roman;Times;Serif" w:hAnsi="Times New Roman;Times;Serif"/>
          <w:b w:val="false"/>
          <w:i w:val="false"/>
          <w:caps w:val="false"/>
          <w:smallCaps w:val="false"/>
          <w:sz w:val="20"/>
        </w:rPr>
        <w:t>” shall mean any ERISA Plan that is not a Multiemployer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shall mean a rate equal to the secured overnight financing rate as administered by the SOFR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shall mean the NYFRB (or a successor administrator of the secured overnight financing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shall mean the NYFRB’s Website or any successor source for the secured overnight financing rate identified as such by the SOFR Administrator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 Agreement Representations</w:t>
      </w:r>
      <w:r>
        <w:rPr>
          <w:rFonts w:ascii="Times New Roman;Times;Serif" w:hAnsi="Times New Roman;Times;Serif"/>
          <w:b w:val="false"/>
          <w:i w:val="false"/>
          <w:caps w:val="false"/>
          <w:smallCaps w:val="false"/>
          <w:sz w:val="20"/>
        </w:rPr>
        <w:t>” shall mean such of the representations made by or with respect to the Company and its subsidiaries in the Acquisition Agreement as are material to the interests of the Lenders, but only to the extent that the Lead Borrower (or its Affiliates) have the right to terminate their respective obligations under the Acquisition Agreement to consummate the Acquisition (or the right to otherwise decline to consummate the Acquisition), as a result of the inaccuracy of such representations in the Acquisition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Equity Contribution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5.9(c)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Event of Default</w:t>
      </w:r>
      <w:r>
        <w:rPr>
          <w:rFonts w:ascii="Times New Roman;Times;Serif" w:hAnsi="Times New Roman;Times;Serif"/>
          <w:b w:val="false"/>
          <w:i w:val="false"/>
          <w:caps w:val="false"/>
          <w:smallCaps w:val="false"/>
          <w:sz w:val="20"/>
        </w:rPr>
        <w:t xml:space="preserve">” shall mean an Event of Default under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Representations</w:t>
      </w:r>
      <w:r>
        <w:rPr>
          <w:rFonts w:ascii="Times New Roman;Times;Serif" w:hAnsi="Times New Roman;Times;Serif"/>
          <w:b w:val="false"/>
          <w:i w:val="false"/>
          <w:caps w:val="false"/>
          <w:smallCaps w:val="false"/>
          <w:sz w:val="20"/>
        </w:rPr>
        <w:t xml:space="preserve">” shall mean the representations of the Credit Parties set forth in (i)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relating to organizational existence of the Credit Parties, (ii)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relating to the power and authority, due authorization, execution and delivery, and enforceability, in each case, related to entering into and performing their respective obligations under the Credit Documents, (iii) </w:t>
      </w:r>
      <w:r>
        <w:rPr>
          <w:rFonts w:ascii="Times New Roman;Times;Serif" w:hAnsi="Times New Roman;Times;Serif"/>
          <w:b w:val="false"/>
          <w:i w:val="false"/>
          <w:caps w:val="false"/>
          <w:smallCaps w:val="false"/>
          <w:sz w:val="20"/>
          <w:u w:val="single"/>
        </w:rPr>
        <w:t>Section 3.5(b)</w:t>
      </w:r>
      <w:r>
        <w:rPr>
          <w:rFonts w:ascii="Times New Roman;Times;Serif" w:hAnsi="Times New Roman;Times;Serif"/>
          <w:b w:val="false"/>
          <w:i w:val="false"/>
          <w:caps w:val="false"/>
          <w:smallCaps w:val="false"/>
          <w:sz w:val="20"/>
        </w:rPr>
        <w:t xml:space="preserve"> relating to no conflicts with or violations of Organizational Documents related to the entering into and performing their respective obligations under the Credit Documents, (iv)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(v)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(vi) </w:t>
      </w:r>
      <w:r>
        <w:rPr>
          <w:rFonts w:ascii="Times New Roman;Times;Serif" w:hAnsi="Times New Roman;Times;Serif"/>
          <w:b w:val="false"/>
          <w:i w:val="false"/>
          <w:caps w:val="false"/>
          <w:smallCaps w:val="false"/>
          <w:sz w:val="20"/>
          <w:u w:val="single"/>
        </w:rPr>
        <w:t>Section 3.27(a)(i)</w:t>
      </w:r>
      <w:r>
        <w:rPr>
          <w:rFonts w:ascii="Times New Roman;Times;Serif" w:hAnsi="Times New Roman;Times;Serif"/>
          <w:b w:val="false"/>
          <w:i w:val="false"/>
          <w:caps w:val="false"/>
          <w:smallCaps w:val="false"/>
          <w:sz w:val="20"/>
        </w:rPr>
        <w:t xml:space="preserve">, (vii) the second paragraph of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(viii) the first sentence of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xml:space="preserve"> and (ix)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subject in all respects to the limitations of the Perfection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Transaction</w:t>
      </w:r>
      <w:r>
        <w:rPr>
          <w:rFonts w:ascii="Times New Roman;Times;Serif" w:hAnsi="Times New Roman;Times;Serif"/>
          <w:b w:val="false"/>
          <w:i w:val="false"/>
          <w:caps w:val="false"/>
          <w:smallCaps w:val="false"/>
          <w:sz w:val="20"/>
        </w:rPr>
        <w:t>” shall mean any acquisition (including the commencement of activities constituting such business), other Investment, Disposition (including, in the case of Dispositions of business entities, the termination or discontinuance of activities constituting such business not in the ordinary course of business), issuance, incurrence, assumption or repayment of Indebtedness (including Indebtedness issued, incurred, assumed or repaid as a result of, or to finance, any relevant transaction and for which the financial effect is being calculated but excluding any Indebtedness incurred or prepaid under any existing revolving credit or line of credit for working capital purposes in the ordinary course unless accompanied by a permanent reduction of the commitments thereunder), Restricted Payment, subsidiary designation, merger and other business combinations, discontinuance of any subsidiary, constitution or Disposition of any line of business or 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Debt</w:t>
      </w:r>
      <w:r>
        <w:rPr>
          <w:rFonts w:ascii="Times New Roman;Times;Serif" w:hAnsi="Times New Roman;Times;Serif"/>
          <w:b w:val="false"/>
          <w:i w:val="false"/>
          <w:caps w:val="false"/>
          <w:smallCaps w:val="false"/>
          <w:sz w:val="20"/>
        </w:rPr>
        <w:t>” shall mean any Indebtedness incurred by the Lead Borrower or any Restricted Subsidiary which by its terms is specifically subordinated in right of payment to the prior payment of the Credit Party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limited liability company, partnership or other entity are at the time owned, or the management of which is otherwise controlled, directly or indirectly through one or more intermediaries, or both, by such Person. Unless otherwise qualified, all references to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or to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in this Agreement shall refer to a Subsidiary or Subsidiaries of the Lead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Borrower</w:t>
      </w:r>
      <w:r>
        <w:rPr>
          <w:rFonts w:ascii="Times New Roman;Times;Serif" w:hAnsi="Times New Roman;Times;Serif"/>
          <w:b w:val="false"/>
          <w:i w:val="false"/>
          <w:caps w:val="false"/>
          <w:smallCaps w:val="false"/>
          <w:sz w:val="20"/>
        </w:rPr>
        <w:t>” shall mean the Initial Subsidiary Borrower and each Additional Subsidiary Borrower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Obligations</w:t>
      </w:r>
      <w:r>
        <w:rPr>
          <w:rFonts w:ascii="Times New Roman;Times;Serif" w:hAnsi="Times New Roman;Times;Serif"/>
          <w:b w:val="false"/>
          <w:i w:val="false"/>
          <w:caps w:val="false"/>
          <w:smallCaps w:val="false"/>
          <w:sz w:val="20"/>
        </w:rPr>
        <w:t>” shall mean, with respect to any Guarantor, an obligation to pay or perform under any agreement, contract or transaction that constitutes a “swap” within the meaning of § 1a(47) of the Commodity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xml:space="preserve">” shall mean the commitment of the Swingline Lender to make Swingline Loans in an aggregate principal amount at any time outstanding up to the Swingline Committed Amount, and the commitment of the Revolving Lenders to purchase participation interests in the Swingline Loans as provided in </w:t>
      </w:r>
      <w:r>
        <w:rPr>
          <w:rFonts w:ascii="Times New Roman;Times;Serif" w:hAnsi="Times New Roman;Times;Serif"/>
          <w:b w:val="false"/>
          <w:i w:val="false"/>
          <w:caps w:val="false"/>
          <w:smallCaps w:val="false"/>
          <w:sz w:val="20"/>
          <w:u w:val="single"/>
        </w:rPr>
        <w:t>Section 2.4(b)(ii)</w:t>
      </w:r>
      <w:r>
        <w:rPr>
          <w:rFonts w:ascii="Times New Roman;Times;Serif" w:hAnsi="Times New Roman;Times;Serif"/>
          <w:b w:val="false"/>
          <w:i w:val="false"/>
          <w:caps w:val="false"/>
          <w:smallCaps w:val="false"/>
          <w:sz w:val="20"/>
        </w:rPr>
        <w:t>, as such amounts may be reduced from time to time in accordance with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Committed Amount</w:t>
      </w:r>
      <w:r>
        <w:rPr>
          <w:rFonts w:ascii="Times New Roman;Times;Serif" w:hAnsi="Times New Roman;Times;Serif"/>
          <w:b w:val="false"/>
          <w:i w:val="false"/>
          <w:caps w:val="false"/>
          <w:smallCaps w:val="false"/>
          <w:sz w:val="20"/>
        </w:rPr>
        <w:t xml:space="preserve">” shall mean the amount of the Swingline Lender’s Swingline Commitment as specified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xml:space="preserve">” shall mean JPMorgan Chase Bank, N.A. (acting through such of its affiliates or branches as it deems appropriate), in its capacity as lender of Swingline Loans hereunder, or such other Lender as designated by the Lead Borrower and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has agreed to be a Swingline Lender, together with any permitted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 Note</w:t>
      </w:r>
      <w:r>
        <w:rPr>
          <w:rFonts w:ascii="Times New Roman;Times;Serif" w:hAnsi="Times New Roman;Times;Serif"/>
          <w:b w:val="false"/>
          <w:i w:val="false"/>
          <w:caps w:val="false"/>
          <w:smallCaps w:val="false"/>
          <w:sz w:val="20"/>
        </w:rPr>
        <w:t xml:space="preserve">” shall mean the promissory note of the Borrowers in favor of the Swingline Lender evidencing the Swingline Loans provided pursuant to </w:t>
      </w:r>
      <w:r>
        <w:rPr>
          <w:rFonts w:ascii="Times New Roman;Times;Serif" w:hAnsi="Times New Roman;Times;Serif"/>
          <w:b w:val="false"/>
          <w:i w:val="false"/>
          <w:caps w:val="false"/>
          <w:smallCaps w:val="false"/>
          <w:sz w:val="20"/>
          <w:u w:val="single"/>
        </w:rPr>
        <w:t>Section 2.4(d)</w:t>
      </w:r>
      <w:r>
        <w:rPr>
          <w:rFonts w:ascii="Times New Roman;Times;Serif" w:hAnsi="Times New Roman;Times;Serif"/>
          <w:b w:val="false"/>
          <w:i w:val="false"/>
          <w:caps w:val="false"/>
          <w:smallCaps w:val="false"/>
          <w:sz w:val="20"/>
        </w:rPr>
        <w:t>, as such promissory note may be amended, modified, extended, restated, replaced,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w:t>
      </w:r>
      <w:r>
        <w:rPr>
          <w:rFonts w:ascii="Times New Roman;Times;Serif" w:hAnsi="Times New Roman;Times;Serif"/>
          <w:b w:val="false"/>
          <w:i w:val="false"/>
          <w:caps w:val="false"/>
          <w:smallCaps w:val="false"/>
          <w:sz w:val="20"/>
        </w:rPr>
        <w:t>” shall have the meaning set forth in the definition of “</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Benchmark</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Adjusted Term SOFR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Term Loans</w:t>
      </w:r>
      <w:r>
        <w:rPr>
          <w:rFonts w:ascii="Times New Roman;Times;Serif" w:hAnsi="Times New Roman;Times;Serif"/>
          <w:b w:val="false"/>
          <w:i w:val="false"/>
          <w:caps w:val="false"/>
          <w:smallCaps w:val="false"/>
          <w:sz w:val="20"/>
        </w:rPr>
        <w:t>” shall mean, individually or collectively, as the context requires, (a) the Initial Term Loans, (b) any Other Term Loans and/or (c) any Incremental Term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Commitment</w:t>
      </w:r>
      <w:r>
        <w:rPr>
          <w:rFonts w:ascii="Times New Roman;Times;Serif" w:hAnsi="Times New Roman;Times;Serif"/>
          <w:b w:val="false"/>
          <w:i w:val="false"/>
          <w:caps w:val="false"/>
          <w:smallCaps w:val="false"/>
          <w:sz w:val="20"/>
        </w:rPr>
        <w:t>” shall mean with respect to any Lender, (i) such Lender’s Initial Term Loan Commitment, (ii) such Lender’s Other Term Commitments, if any, and/or (iii) such Lender’s commitments under any Incremental Term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Commitment Percentage</w:t>
      </w:r>
      <w:r>
        <w:rPr>
          <w:rFonts w:ascii="Times New Roman;Times;Serif" w:hAnsi="Times New Roman;Times;Serif"/>
          <w:b w:val="false"/>
          <w:i w:val="false"/>
          <w:caps w:val="false"/>
          <w:smallCaps w:val="false"/>
          <w:sz w:val="20"/>
        </w:rPr>
        <w:t>” shall mean the Initial Term Loan Commitment Percentage, the Incremental Term Facility Commitment Percentage and/or the Other Term Commitment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Extension Request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Extension Series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Facility</w:t>
      </w:r>
      <w:r>
        <w:rPr>
          <w:rFonts w:ascii="Times New Roman;Times;Serif" w:hAnsi="Times New Roman;Times;Serif"/>
          <w:b w:val="false"/>
          <w:i w:val="false"/>
          <w:caps w:val="false"/>
          <w:smallCaps w:val="false"/>
          <w:sz w:val="20"/>
        </w:rPr>
        <w:t>” shall mean, individually or collectively, as the context requires, the Initial Term Loan Facility, the Incremental Term Facility and/or the facility under the Other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Lender</w:t>
      </w:r>
      <w:r>
        <w:rPr>
          <w:rFonts w:ascii="Times New Roman;Times;Serif" w:hAnsi="Times New Roman;Times;Serif"/>
          <w:b w:val="false"/>
          <w:i w:val="false"/>
          <w:caps w:val="false"/>
          <w:smallCaps w:val="false"/>
          <w:sz w:val="20"/>
        </w:rPr>
        <w:t>” shall mean a Lender holding a Term Loan Commitment or a portion of the outstanding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Note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Term Loan Notes</w:t>
      </w:r>
      <w:r>
        <w:rPr>
          <w:rFonts w:ascii="Times New Roman;Times;Serif" w:hAnsi="Times New Roman;Times;Serif"/>
          <w:b w:val="false"/>
          <w:i w:val="false"/>
          <w:caps w:val="false"/>
          <w:smallCaps w:val="false"/>
          <w:sz w:val="20"/>
        </w:rPr>
        <w:t xml:space="preserve">” shall mean the promissory notes of the Borrowers (if any) in favor of any of the Lenders evidencing the portion of the Initial Term Loan provided by any such Lender pursuant to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individually or collectively, as appropriate, as such promissory notes may be amended, modified, extended, restated, replaced,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Maturity Date</w:t>
      </w:r>
      <w:r>
        <w:rPr>
          <w:rFonts w:ascii="Times New Roman;Times;Serif" w:hAnsi="Times New Roman;Times;Serif"/>
          <w:b w:val="false"/>
          <w:i w:val="false"/>
          <w:caps w:val="false"/>
          <w:smallCaps w:val="false"/>
          <w:sz w:val="20"/>
        </w:rPr>
        <w:t xml:space="preserve">” shall mean (a) with respect to the Initial Term Loans, the date that is five (5) years following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Convertible Notes remain outstanding on the date that is 91 days prior to the final maturity date of the Convertible Notes, the Term Maturity Date with respect to the Initial Term Loans shall instead be such date unless (i) the Lead Borrower and its Restricted Subsidiaries have Unrestricted Cash on such date in an amount equal to at least the principal amount of the then-outstanding Convertible Notes or (ii) the average Daily VWAP (as defined in the Convertible Notes Indenture) of the common stock of the Lead Borrower for the most recently ended thirty (30) trading days immediately prior to such date is at least 120% of the then applicable Conversion Price (as defined in the Convertible Notes Indenture), (b) with respect to any Other Term Loans, the final maturity date specified in the applicable Refinancing Amendment, and (c) with respect to any Incremental Term Facilities, subject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the final maturity date specified in the applicable Incremental Facility Amendment (or, in each case, with respect to any Term Loan Lender that has extended the maturity of its Term Loans pursuant to </w:t>
      </w:r>
      <w:r>
        <w:rPr>
          <w:rFonts w:ascii="Times New Roman;Times;Serif" w:hAnsi="Times New Roman;Times;Serif"/>
          <w:b w:val="false"/>
          <w:i w:val="false"/>
          <w:caps w:val="false"/>
          <w:smallCaps w:val="false"/>
          <w:sz w:val="20"/>
          <w:u w:val="single"/>
        </w:rPr>
        <w:t>Section 2.23(b)</w:t>
      </w:r>
      <w:r>
        <w:rPr>
          <w:rFonts w:ascii="Times New Roman;Times;Serif" w:hAnsi="Times New Roman;Times;Serif"/>
          <w:b w:val="false"/>
          <w:i w:val="false"/>
          <w:caps w:val="false"/>
          <w:smallCaps w:val="false"/>
          <w:sz w:val="20"/>
        </w:rPr>
        <w:t xml:space="preserve">, the extended maturity date set forth in the Term Loan Extension Request delivered by the Lead Borrower and such Term Loan Lender to the Administrative Agent pursuant to </w:t>
      </w:r>
      <w:r>
        <w:rPr>
          <w:rFonts w:ascii="Times New Roman;Times;Serif" w:hAnsi="Times New Roman;Times;Serif"/>
          <w:b w:val="false"/>
          <w:i w:val="false"/>
          <w:caps w:val="false"/>
          <w:smallCaps w:val="false"/>
          <w:sz w:val="20"/>
          <w:u w:val="single"/>
        </w:rPr>
        <w:t>Section 2.23(b)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if such date is not a Business Day, the Maturity Date shall be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has the meaning assigned to it under the definition of Term SOFR Reference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Rate</w:t>
      </w:r>
      <w:r>
        <w:rPr>
          <w:rFonts w:ascii="Times New Roman;Times;Serif" w:hAnsi="Times New Roman;Times;Serif"/>
          <w:b w:val="false"/>
          <w:i w:val="false"/>
          <w:caps w:val="false"/>
          <w:smallCaps w:val="false"/>
          <w:sz w:val="20"/>
        </w:rPr>
        <w:t>” shall mean,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shall mean, for any day and time (such day, the “</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Business Day is not more than five (5) U.S. Government Securities Business Days prior to such Term SOFR Determination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Test Period</w:t>
      </w:r>
      <w:r>
        <w:rPr>
          <w:rFonts w:ascii="Times New Roman;Times;Serif" w:hAnsi="Times New Roman;Times;Serif"/>
          <w:b w:val="false"/>
          <w:i w:val="false"/>
          <w:caps w:val="false"/>
          <w:smallCaps w:val="false"/>
          <w:sz w:val="20"/>
        </w:rPr>
        <w:t>” shall mean, as of any date of determination, the period of four consecutive fiscal quarters ending on such date for which financial statements are required to be delivered (or are actually delivered, if earlier) prior to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Credit Exposure</w:t>
      </w:r>
      <w:r>
        <w:rPr>
          <w:rFonts w:ascii="Times New Roman;Times;Serif" w:hAnsi="Times New Roman;Times;Serif"/>
          <w:b w:val="false"/>
          <w:i w:val="false"/>
          <w:caps w:val="false"/>
          <w:smallCaps w:val="false"/>
          <w:sz w:val="20"/>
        </w:rPr>
        <w:t>” shall mean, as to any Lender at any time, the unused Commitments, Revolving Credit Exposure and outstanding Term Loans of such Lender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Net Leverage Ratio</w:t>
      </w:r>
      <w:r>
        <w:rPr>
          <w:rFonts w:ascii="Times New Roman;Times;Serif" w:hAnsi="Times New Roman;Times;Serif"/>
          <w:b w:val="false"/>
          <w:i w:val="false"/>
          <w:caps w:val="false"/>
          <w:smallCaps w:val="false"/>
          <w:sz w:val="20"/>
        </w:rPr>
        <w:t>” shall mean, as of any date of determination, for the Lead Borrower and its Restricted Subsidiaries on a Consolidated basis, the ratio of (a) Consolidated Funded Debt on such date (net of Unrestricted Cash in an aggregate amount of up to $100,000,000) to (b) Consolidated EBITDA for the most recently ended Test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 License</w:t>
      </w:r>
      <w:r>
        <w:rPr>
          <w:rFonts w:ascii="Times New Roman;Times;Serif" w:hAnsi="Times New Roman;Times;Serif"/>
          <w:b w:val="false"/>
          <w:i w:val="false"/>
          <w:caps w:val="false"/>
          <w:smallCaps w:val="false"/>
          <w:sz w:val="20"/>
        </w:rPr>
        <w:t>” shall mean any agreement, whether written or oral, providing for the grant by or to a Person of any right to use any Trademark.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shall mean (a) all trademarks, trade names, corporate names, company names, business names, fictitious business names, service marks, elements of package or trade dress of goods or services, logos and other source or business identifiers, together with the goodwill associated therewith, all registrations and recordings thereof, and all applications in connection therewith, whether in the United States Patent and Trademark Office or in any similar office or agency of the United States, any State thereof or any other country or any political subdivision thereof and (b) all renewals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Costs</w:t>
      </w:r>
      <w:r>
        <w:rPr>
          <w:rFonts w:ascii="Times New Roman;Times;Serif" w:hAnsi="Times New Roman;Times;Serif"/>
          <w:b w:val="false"/>
          <w:i w:val="false"/>
          <w:caps w:val="false"/>
          <w:smallCaps w:val="false"/>
          <w:sz w:val="20"/>
        </w:rPr>
        <w:t>” shall have the meaning set forth in the definition of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shall mean (a) the execution and delivery of the Credit Documents on the Closing Date and the initial funding of the Loans hereunder, (b) the consummation of the Closing Date Refinancing, (c) the consummation of the Acquisition and other related transactions contemplated by the Acquisition Agreement on the Acquisition Closing Date and (d) the payment (or reimbursement) of all fees, closing payments, premiums, costs and expenses incurred in connection with the transactions described in the foregoing provisions of this definition, including to fund any original issue discount or upfront fees (the “</w:t>
      </w:r>
      <w:r>
        <w:rPr>
          <w:rFonts w:ascii="Times New Roman;Times;Serif" w:hAnsi="Times New Roman;Times;Serif"/>
          <w:b w:val="false"/>
          <w:i w:val="false"/>
          <w:caps w:val="false"/>
          <w:smallCaps w:val="false"/>
          <w:sz w:val="20"/>
          <w:u w:val="single"/>
        </w:rPr>
        <w:t>Transaction Costs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shall mean, as to any Loan, its nature as an ABR Loan, Term Benchmark Loan or RFR Loan,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shall mean the Uniform Commercial Code from time to time in effect in any applicable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shall mean the Bank of England or any other public administrative authority having responsibility for the resolution of any UK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shall mean the applicable Benchmark Replacement excluding the related Benchmark Replacement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Cash</w:t>
      </w:r>
      <w:r>
        <w:rPr>
          <w:rFonts w:ascii="Times New Roman;Times;Serif" w:hAnsi="Times New Roman;Times;Serif"/>
          <w:b w:val="false"/>
          <w:i w:val="false"/>
          <w:caps w:val="false"/>
          <w:smallCaps w:val="false"/>
          <w:sz w:val="20"/>
        </w:rPr>
        <w:t>” shall mean cash and Cash Equivalents of the Credit Parties (or, for purposes of clause (i) of the proviso to clause (a) in each of the definitions of “Revolving Maturity Date” and “Term Maturity Date”, the Lead Borrower and its Restricted Subsidiaries), excluding cash and Cash Equivalents that are “restricted” (in accordance with GAAP) on the Consolidated balance sheet of the Lead Borrower and its Subsidiaries as of such date but including the aggregate amount of cash and Cash Equivalents restricted in respect of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xml:space="preserve">” shall mean any Subsidiary (other than a Borrower) designated by the Lead Borrower as an Unrestricted Subsidiary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on or subsequent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Borrower</w:t>
      </w:r>
      <w:r>
        <w:rPr>
          <w:rFonts w:ascii="Times New Roman;Times;Serif" w:hAnsi="Times New Roman;Times;Serif"/>
          <w:b w:val="false"/>
          <w:i w:val="false"/>
          <w:caps w:val="false"/>
          <w:smallCaps w:val="false"/>
          <w:sz w:val="20"/>
        </w:rPr>
        <w:t>” shall mean any Borrower that is a U.S.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xml:space="preserve">” shall mean any Person that is a “United States Person” as defined in </w:t>
      </w:r>
      <w:r>
        <w:rPr>
          <w:rFonts w:ascii="Times New Roman;Times;Serif" w:hAnsi="Times New Roman;Times;Serif"/>
          <w:b w:val="false"/>
          <w:i w:val="false"/>
          <w:caps w:val="false"/>
          <w:smallCaps w:val="false"/>
          <w:sz w:val="20"/>
          <w:u w:val="single"/>
        </w:rPr>
        <w:t>Section 7701(a)(30)</w:t>
      </w:r>
      <w:r>
        <w:rPr>
          <w:rFonts w:ascii="Times New Roman;Times;Serif" w:hAnsi="Times New Roman;Times;Serif"/>
          <w:b w:val="false"/>
          <w:i w:val="false"/>
          <w:caps w:val="false"/>
          <w:smallCaps w:val="false"/>
          <w:sz w:val="20"/>
        </w:rPr>
        <w:t xml:space="preserve">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2.16(g)(ii)(B)(3)(x)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shall mean, with respect to any Person, Equity Interests issued by such Person the holders of which are ordinarily, in the absence of contingencies, entitled to vote for the election of directors (or persons performing similar functions) of such Person, even though the right so to vote may be or have been suspended by the happening of such a contingency.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Weighted Average Life to Maturity</w:t>
      </w:r>
      <w:r>
        <w:rPr>
          <w:rFonts w:ascii="Times New Roman;Times;Serif" w:hAnsi="Times New Roman;Times;Serif"/>
          <w:b w:val="false"/>
          <w:i w:val="false"/>
          <w:caps w:val="false"/>
          <w:smallCaps w:val="false"/>
          <w:sz w:val="20"/>
        </w:rPr>
        <w:t>” shall mean, when applied to any Indebtedness at any date, the number of years obtained by dividing: (a) the sum of the products obtained by multiplying (i) the amount of each then remaining scheduled installment, sinking fund, serial maturity or other required payments of principal, including payment at final scheduled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 Subsidiary</w:t>
      </w:r>
      <w:r>
        <w:rPr>
          <w:rFonts w:ascii="Times New Roman;Times;Serif" w:hAnsi="Times New Roman;Times;Serif"/>
          <w:b w:val="false"/>
          <w:i w:val="false"/>
          <w:caps w:val="false"/>
          <w:smallCaps w:val="false"/>
          <w:sz w:val="20"/>
        </w:rPr>
        <w:t>” shall mean, with respect to any Person at any date, a subsidiary of such Person of which securities or other ownership interests representing 100% of the Equity Interests (other than (a) directors’ qualifying shares or (b) shares required by applicable Requirements of Law to be owned by a resident of the relevant jurisdiction) are, as of such date, owned, controlled or held by such Person or one or more Wholly Owned Subsidiaries of such Person or by such Person and one or more Wholly Owned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Withholding Agent</w:t>
      </w:r>
      <w:r>
        <w:rPr>
          <w:rFonts w:ascii="Times New Roman;Times;Serif" w:hAnsi="Times New Roman;Times;Serif"/>
          <w:b w:val="false"/>
          <w:i w:val="false"/>
          <w:caps w:val="false"/>
          <w:smallCaps w:val="false"/>
          <w:sz w:val="20"/>
        </w:rPr>
        <w:t>” shall mean any Credit Party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Works</w:t>
      </w:r>
      <w:r>
        <w:rPr>
          <w:rFonts w:ascii="Times New Roman;Times;Serif" w:hAnsi="Times New Roman;Times;Serif"/>
          <w:b w:val="false"/>
          <w:i w:val="false"/>
          <w:caps w:val="false"/>
          <w:smallCaps w:val="false"/>
          <w:sz w:val="20"/>
        </w:rPr>
        <w:t>” shall mean all works which are subject to copyright protection pursuant to Title 17 of the United States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1.2</w:t>
        <w:tab/>
      </w:r>
      <w:r>
        <w:rPr>
          <w:rFonts w:ascii="Times New Roman;Times;Serif" w:hAnsi="Times New Roman;Times;Serif"/>
          <w:b/>
          <w:i w:val="false"/>
          <w:caps w:val="false"/>
          <w:smallCaps w:val="false"/>
          <w:sz w:val="20"/>
        </w:rPr>
        <w:t>Other Definitional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amended and restated or otherwise modified (subject to any restrictions on such amendments, supplements or modifications set forth herein), (b) any reference herein to any Person shall be construed to include such Person’s permitted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1.3</w:t>
        <w:tab/>
      </w:r>
      <w:r>
        <w:rPr>
          <w:rFonts w:ascii="Times New Roman;Times;Serif" w:hAnsi="Times New Roman;Times;Serif"/>
          <w:b/>
          <w:i w:val="false"/>
          <w:caps w:val="false"/>
          <w:smallCaps w:val="false"/>
          <w:sz w:val="20"/>
        </w:rPr>
        <w:t>Accounting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most recently delivered audited Consolidated financial statements of the Lead Borrower, except as otherwise specifically prescribed herein. Notwithstanding anything to the contrary contained herein, for purposes of determining compliance with any covenant (including the computation of any financial covenant) contained herein, Indebtedness of the Lead Borrower and its Restricted Subsidiaries shall be deemed to be carried at 100% of the outstanding principal amount thereof, and the effects of FASB ASC 825 and FASB ASC 470-20 on financial liabilities shall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Changes in GAAP</w:t>
      </w:r>
      <w:r>
        <w:rPr>
          <w:rFonts w:ascii="Times New Roman;Times;Serif" w:hAnsi="Times New Roman;Times;Serif"/>
          <w:b w:val="false"/>
          <w:i w:val="false"/>
          <w:caps w:val="false"/>
          <w:smallCaps w:val="false"/>
          <w:sz w:val="20"/>
        </w:rPr>
        <w:t>. If at any time any change in GAAP would affect the computation of any financial ratio or requirement set forth in any Credit Document, and either the Lead Borrower or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Required Lenders shall so request, the Administrative Agent, the Lenders and the Lead Borrower shall negotiate in good faith to amend such ratio or requirement to preserve the original intent thereof in light of such change in GAAP (subject to the approval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until so amended, (i) such ratio or requirement shall continue to be computed in accordance with GAAP without giving effect to such change therein and (ii) the Lead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anything to the contrary in any Credit Document, it is understood and agreed that, for purposes of this Agreement and the other Credit Documents, the determination of whether a lease is required to be accounted for as a Capital Lease in the financial statements of any Person or for purposes of any financial covenants, basket amounts, ratios and definitions contained herein or in any other Credit Document or for any other purpose under the Credit Documents shall, in each case, be made by reference to GAAP as in effect on December 31, 2018, and any change in GAAP after December 31, 2018 that results in any lease which is, or would be, classified as an operating lease under GAAP as it exists on December 31, 2018 being classified as a Capital Lease or a financial lease, as applicable, under GAAP at any time thereafter (regardless of when such lease is entered into) shall be ignored for all purposes under the Credit Documents, including in respect of all financial covenants, basket amounts, ratios and definitions contained herein or in any other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1.4</w:t>
        <w:tab/>
      </w:r>
      <w:r>
        <w:rPr>
          <w:rFonts w:ascii="Times New Roman;Times;Serif" w:hAnsi="Times New Roman;Times;Serif"/>
          <w:b/>
          <w:i w:val="false"/>
          <w:caps w:val="false"/>
          <w:smallCaps w:val="false"/>
          <w:sz w:val="20"/>
        </w:rPr>
        <w:t>Pro Forma Calculations.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herein, financial ratios and tests, including the First Lien Net Leverage Ratio, the Interest Coverage Ratio and the Total Net Leverage Ratio and compliance with covenants determined by reference to Consolidated EBITDA, shall be calculated in the manner prescribed by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in clauses (b), (c) or (d) of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when calculating the First Lien Net Leverage Ratio and Interest Coverage Ratio for purposes of determining actual compliance (and not compliance on a Pro Forma Basis) with the Financial Covenants and the Applicable Margins, (A) the events described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that occurred subsequent to the end of the applicable Test Period shall not be given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and (B) when calculating any such ratio or test for purposes of the incurrence of any Indebtedness, such calculation shall be made without “netting” the cash proceeds of such Indebtedness. It being understood and agreed that, if any financial ratio, test or compliance with covenants determined by reference to Consolidated EBITDA or Consolidated Total Assets is required to be made prior to the first date upon which financial statements are required to be delivered (or are actually delivered, if earlier)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as the case may be, such financial ratio, test or compliance with covenants determined by reference to Consolidated EBITDA or Consolidated Total Assets shall be made on a pro forma basis as of June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purposes of calculating any financial ratios and tests, including the First Lien Net Leverage Ratio, the Interest Coverage Ratio and the Total Net Leverage Ratio and compliance with covenants determined by reference to Consolidated EBITDA, Specified Transactions (with any incurrence or repayment of any Indebtedness in connection therewith to be subject to clause (d) of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that have been made (i) during the applicable Test Period or (ii) if applicable as described in clause (a) above, subsequent to the end of such Test Period and prior to or simultaneously with the event for which the calculation of any such ratio is made shall be calculated on a pro forma basis assuming that all such Specified Transactions (and any increase or decrease in Consolidated EBITDA and Consolidated Interest Expense and the component financial definitions used therein attributable to any Specified Transaction) had occurred on the first day of the applicable Test Period (with the interest expense with respect to any Indebtedness that bears interest at a floating rate, for purposes of such pro forma calculation, being deemed to have an interest rate equal to the interest rate applicable thereto on the last day of the applicable Test Period or, if incurred following the last day of such Test Period, on the date of incurrence thereof). If since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beginning of any applicable Test Period any Person that subsequently became a Restricted Subsidiary or was merged, amalgamated or consolidated with or into the Lead Borrower or any of its Restricted Subsidiaries since the beginning of such Test Period shall have made any Specified Transaction that would have required adjustment pursuant to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then such financial ratio or test shall be calculated to give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thereto in accordance with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Whenever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is to be given to a Specified Transaction, the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calculations shall be made (i) to take into account any fluctuations in cash or Permitted Investments on the balance sheet of the Lead Borrower and its Restricted Subsidiaries that have occurred since the end of the applicable Test Period and (ii) in good faith by a Responsible Officer of the Lead Borrower and may include, for the avoidance of doubt, any amounts that may otherwise be added back pursuant to clause (b)(v)(B) of the definition of Consolidated EBITDA, whether through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adjustment or otherwise, with respect to such Test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the Lead Borrower or any Restricted Subsidiary incurs (including by assumption or guarantees) or repays (including by redemption, repayment, retirement or extinguishment) any Indebtedness subject to paragraph (a), subsequent to the end of the applicable Test Period and prior to or simultaneously with the event for which the calculation of any such ratio is made, then such financial ratio or test (other than the First Lien Net Leverage Ratio for purposes of determining actual compliance with such Financial Covenant pursuant to </w:t>
      </w:r>
      <w:r>
        <w:rPr>
          <w:rFonts w:ascii="Times New Roman;Times;Serif" w:hAnsi="Times New Roman;Times;Serif"/>
          <w:b w:val="false"/>
          <w:i w:val="false"/>
          <w:caps w:val="false"/>
          <w:smallCaps w:val="false"/>
          <w:sz w:val="20"/>
          <w:u w:val="single"/>
        </w:rPr>
        <w:t>Section 5.9(a)</w:t>
      </w:r>
      <w:r>
        <w:rPr>
          <w:rFonts w:ascii="Times New Roman;Times;Serif" w:hAnsi="Times New Roman;Times;Serif"/>
          <w:b w:val="false"/>
          <w:i w:val="false"/>
          <w:caps w:val="false"/>
          <w:smallCaps w:val="false"/>
          <w:sz w:val="20"/>
        </w:rPr>
        <w:t xml:space="preserve">) shall be calculated giving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effect to such incurrence or repayment of Indebtedness, in each case to the extent required, as if the same had occurred on the last day of the applicable Test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1.5</w:t>
        <w:tab/>
      </w:r>
      <w:r>
        <w:rPr>
          <w:rFonts w:ascii="Times New Roman;Times;Serif" w:hAnsi="Times New Roman;Times;Serif"/>
          <w:b/>
          <w:i w:val="false"/>
          <w:caps w:val="false"/>
          <w:smallCaps w:val="false"/>
          <w:sz w:val="20"/>
        </w:rPr>
        <w:t>Limited Condition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Agreement or any Credit Document to the contrary, for purposes of determining (a) Pro Forma Compliance with any financial ratio or financial test in the Credit Documents (other than determining actual compliance with the Financial Covenants), (b) the amount or availability of the Incremental Facility Increase Amount, Available Amount or any other basket in any Credit Document (including any basket based on Consolidated EBITDA or Consolidated Total Assets), (c) compliance with the representations and warranties (other than for purposes of borrowings under the Revolving Commitments) or (d) whether a Default or Event of Default has occurred and is continuing or would immediately result therefrom (other than for purposes of borrowings under the Revolving Commitments), in each case, in connection with the consummation of any Limited Condition Transaction, the date of determination shall, at the option of the Lead Borrower (the Lead Borrower’s election to exercise such option in connection with any Limited Condition Transaction, an “</w:t>
      </w:r>
      <w:r>
        <w:rPr>
          <w:rFonts w:ascii="Times New Roman;Times;Serif" w:hAnsi="Times New Roman;Times;Serif"/>
          <w:b w:val="false"/>
          <w:i w:val="false"/>
          <w:caps w:val="false"/>
          <w:smallCaps w:val="false"/>
          <w:sz w:val="20"/>
          <w:u w:val="single"/>
        </w:rPr>
        <w:t>LCT Election</w:t>
      </w:r>
      <w:r>
        <w:rPr>
          <w:rFonts w:ascii="Times New Roman;Times;Serif" w:hAnsi="Times New Roman;Times;Serif"/>
          <w:b w:val="false"/>
          <w:i w:val="false"/>
          <w:caps w:val="false"/>
          <w:smallCaps w:val="false"/>
          <w:sz w:val="20"/>
        </w:rPr>
        <w:t>”), be the date the definitive agreements for such Limited Condition Transaction is entered into (the “</w:t>
      </w:r>
      <w:r>
        <w:rPr>
          <w:rFonts w:ascii="Times New Roman;Times;Serif" w:hAnsi="Times New Roman;Times;Serif"/>
          <w:b w:val="false"/>
          <w:i w:val="false"/>
          <w:caps w:val="false"/>
          <w:smallCaps w:val="false"/>
          <w:sz w:val="20"/>
          <w:u w:val="single"/>
        </w:rPr>
        <w:t>LCT Test Date</w:t>
      </w:r>
      <w:r>
        <w:rPr>
          <w:rFonts w:ascii="Times New Roman;Times;Serif" w:hAnsi="Times New Roman;Times;Serif"/>
          <w:b w:val="false"/>
          <w:i w:val="false"/>
          <w:caps w:val="false"/>
          <w:smallCaps w:val="false"/>
          <w:sz w:val="20"/>
        </w:rPr>
        <w:t xml:space="preserve">”) immediately after giving Pro Forma Effect to such Limited Condition Transaction and all related acquisitions, Investments and other transactions entered into (or to be entered into) or consummated (or to be consummated) in connection therewith (including any incurrence of Indebtedness and the use of proceeds thereof) as if they occurred at the beginning of the most recently ended Test Period for which financial statements are required to be delivered (or are actually delivered, if earlier) immediately prior to the LCT Test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notwithstanding the foregoing, if the Lead Borrower has made such an LCT Election and if the proceeds of an Incremental Facility Increase Amount are to be used to finance a Limited Condition Transaction, then such financing may be subject to customary “SunGard” or “certain funds” conditionality and the representations and warranties required shall be limited to the Specified Representations and acquisition agreement representations and warranties (to the extent such acquisition agreement representations and warranties allow the Lead Borrower or its applicable Restricted Subsidiary to terminate its obligations under such acquisition agreement or not consummate such acquisition). For the avoidance of doubt, (x) if the Lead Borrower has made an LCT Election and if any of such ratios, baskets or amounts for which compliance was determined or tested as of the LCT Test Date are exceeded, or any representation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would be breached or any Default or Event of Default blocker would apply, as a result of fluctuations in such ratio, basket or amount (including due to fluctuations in Consolidated EBITDA of the Lead Borrower or the Person subject to such Limited Condition Transaction) or as a result of the occurrence of any Default or Event of Default or other event, in each case, at or prior to the consummation of the relevant Limited Condition Transaction, such ratios, baskets or amounts will be deemed not to have been exceeded as a result of such fluctuations, such representation or warranty shall be deemed not to have been breached, and such Default or Event of Default shall be deemed not to have occurred, in each case, solely for purposes of determining whether the relevant transaction or action is permitted to be consummated or taken, and (y) such ratios, baskets or amounts shall not be tested at the time of consummation of such Limited Condition Transaction and all related acquisitions, Investments and other transactions entered into (or to be entered into) or consummated (or to be consummated) in connection therewith;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Lead Borrower has made an LCT Election, then in connection with any subsequent calculation of any ratio, basket or amount with respect to any other transaction following the relevant LCT Test Date and prior to the earlier of the date on which such Limited Condition Transaction is consummated or the date that the definitive agreement (or, if applicable, the irrevocable notice or similar event) for such Limited Condition Transaction is terminated or expires without consummation of such Limited Condition Transaction, for purposes of determining whether (x) such subsequent transaction (other than with respect to Restricted Payments or Restricted Debt Payments) is permitted under the Loans, any such ratio, basket or amount shall be required to be satisfied on a Pro Forma Basis assuming such Limited Condition Transaction and all related acquisitions, Investments and other transactions entered into (or to be entered into) or consummated (or to be consummated) in connection therewith (including any incurrence of Indebtedness and the use of proceeds thereof) have been consummated and (y) such subsequent Restricted Payments or Restricted Debt Payments are permitted under the Loans, any such ratio, basket or amount shall be required to be satisfied on a Pro Forma Basis both (1) assuming such Limited Condition Transaction and all related acquisitions, Investments and other transactions entered into (or to be entered into) or consummated (or to be consummated) in connection therewith (including any incurrence of Indebtedness and the use of proceeds thereof) have been consummated and (2) assuming such Limited Condition Transaction and all related acquisitions, Investments and other transactions entered into (or to be entered into) or consummated (or to be consummated) in connection therewith (including any incurrence of Indebtedness and the use of proceeds thereof) have not been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1.6</w:t>
        <w:tab/>
      </w:r>
      <w:r>
        <w:rPr>
          <w:rFonts w:ascii="Times New Roman;Times;Serif" w:hAnsi="Times New Roman;Times;Serif"/>
          <w:b/>
          <w:i w:val="false"/>
          <w:caps w:val="false"/>
          <w:smallCaps w:val="false"/>
          <w:sz w:val="20"/>
        </w:rPr>
        <w:t>Certain Determinations.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purposes of determining compliance at any time with the provisions of this Agreement, in the event that any Indebtedness (excluding Indebtedness under this Agreement), together with any corresponding Lien, meets the criteria of more than one category of exceptions, thresholds, baskets, or other provisions of transactions or items permitted pursuant to any clause of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the Lead Borrower, in its sole discretion, may, at any time, classify or reclassify (on one or more occasions) and/or divide or re-divide (on one or more occasions) such transaction or item (or portion thereof) among one or more such categories of exceptions, thresholds, baskets or provisions of transactions or items permitted pursuant to any clause of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as elected by the Lead Borrower in its sole discretion. It is understood and agreed that any Indebtedness (including any Incremental Facilities), Lien, Restricted Payment, Restricted Debt Payment, Investment, Disposition or Affiliate transaction or other transaction need not be permitted solely by reference to one category of permissive exception, threshold, basket or provision under this Agreement, but may instead be permitted in part under any combination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amounts incurred or transactions entered into or consummated (including any Indebtedness (including any Incremental Facilities), Lien, Restricted Payment, Investment, Disposition or Affiliate transaction or other transaction), in reliance on a combination of Fixed Baskets and Incurrence-Based Baskets, it is understood and agreed that (i) the Incurrence-Based Baskets shall first be calculated without giving effect to any Fixed Baskets being relied upon for any portion of such incurrence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transactions, (ii) thereafter, the incurrence of the portion of such amounts or other applicable transaction to be entered into in reliance on any Fixed Baskets shall be calculated (and Indebtedness (excluding any Incremental Facilities), together with any corresponding Lien, may subsequently be reclassified into Incurrence-Based Baskets in accordance with clause (a) above). In calculating the maximum amount of Indebtedness permitted to be incurred under Fixed Baskets and Incurrence-Based Baskets at the same time, only the portion of such Indebtedness intended to be incurred under Incurrence-Based Baskets shall be included in the calculation of financial ratios at the time of such initial calculation (and the portion of such Indebtedness intended to be incurred under Fixed Baskets shall be deemed to not have been incurred in calculating such financial ratios at the time of such initial calculation) and (iii) the incurrence of the portion of any such amount under the Fixed Baskets shall be included in any subsequent calculation of the Incurrence-Based Baskets to the extent outstanding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Accrual of interest, the accretion of accreted value and the payment of interest in the form of additional Indebtedness shall not be deemed to be an incurrence of Indebtedness for purposes of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purposes of determining compliance with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(i) the amount of any Investment shall be the amount actually invested, without adjustment for subsequent increases or decreases in the value of such Investment, less any amount paid, repaid, returned, distributed or otherwise received in cash in respect of such Investment and (ii) in the event that an Investment meets the criteria of any one of the categories described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at the time such Investment is made, there shall not be any requirement for such Investment to meet any other category described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at such time or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1.7</w:t>
        <w:tab/>
      </w:r>
      <w:r>
        <w:rPr>
          <w:rFonts w:ascii="Times New Roman;Times;Serif" w:hAnsi="Times New Roman;Times;Serif"/>
          <w:b/>
          <w:i w:val="false"/>
          <w:caps w:val="false"/>
          <w:smallCaps w:val="false"/>
          <w:sz w:val="20"/>
        </w:rPr>
        <w:t>Cashless Roll.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Lead Borrower, the Administrative Agent and such Lender, and such extension, replacement, renewal or refinancing shall be deemed to comply with any requirement hereunder or any other Credit Document that such payment be made “in dollars”, “in immediately available funds”, “in cash” or any other similar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1.8</w:t>
        <w:tab/>
      </w:r>
      <w:r>
        <w:rPr>
          <w:rFonts w:ascii="Times New Roman;Times;Serif" w:hAnsi="Times New Roman;Times;Serif"/>
          <w:b/>
          <w:i w:val="false"/>
          <w:caps w:val="false"/>
          <w:smallCaps w:val="false"/>
          <w:sz w:val="20"/>
        </w:rPr>
        <w:t>Calculation of Baskets.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baskets set forth in Article VI of this Agreement are exceeded solely as a result of fluctuations to Consolidated EBITDA for the most recently completed Test Period after the last time such baskets were calculated for any purpose under Article VI, such baskets will not be deemed to have been exceeded solely as a result of such fluctuations.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1.9</w:t>
        <w:tab/>
      </w:r>
      <w:r>
        <w:rPr>
          <w:rFonts w:ascii="Times New Roman;Times;Serif" w:hAnsi="Times New Roman;Times;Serif"/>
          <w:b/>
          <w:i w:val="false"/>
          <w:caps w:val="false"/>
          <w:smallCaps w:val="false"/>
          <w:sz w:val="20"/>
        </w:rPr>
        <w:t>Interest Rates; Benchmark Notification.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interest rate on a Loan denominated in Dollars may be derived from an interest rate benchmark that may be discontinued or is, or may in the future become, the subject of regulatory reform. Upon the occurrence of a Benchmark Transition Event, </w:t>
      </w:r>
      <w:r>
        <w:rPr>
          <w:rFonts w:ascii="Times New Roman;Times;Serif" w:hAnsi="Times New Roman;Times;Serif"/>
          <w:b w:val="false"/>
          <w:i w:val="false"/>
          <w:caps w:val="false"/>
          <w:smallCaps w:val="false"/>
          <w:sz w:val="20"/>
          <w:u w:val="single"/>
        </w:rPr>
        <w:t>Section 2.13(b)</w:t>
      </w:r>
      <w:r>
        <w:rPr>
          <w:rFonts w:ascii="Times New Roman;Times;Serif" w:hAnsi="Times New Roman;Times;Serif"/>
          <w:b w:val="false"/>
          <w:i w:val="false"/>
          <w:caps w:val="false"/>
          <w:smallCaps w:val="false"/>
          <w:sz w:val="20"/>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1.10</w:t>
        <w:tab/>
      </w:r>
      <w:r>
        <w:rPr>
          <w:rFonts w:ascii="Times New Roman;Times;Serif" w:hAnsi="Times New Roman;Times;Serif"/>
          <w:b/>
          <w:i w:val="false"/>
          <w:caps w:val="false"/>
          <w:smallCaps w:val="false"/>
          <w:sz w:val="20"/>
        </w:rPr>
        <w:t>Time 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all references herein to times of day shall be references to Eastern time (daylight or standard,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1.11</w:t>
        <w:tab/>
      </w:r>
      <w:r>
        <w:rPr>
          <w:rFonts w:ascii="Times New Roman;Times;Serif" w:hAnsi="Times New Roman;Times;Serif"/>
          <w:b/>
          <w:i w:val="false"/>
          <w:caps w:val="false"/>
          <w:smallCaps w:val="false"/>
          <w:sz w:val="20"/>
        </w:rPr>
        <w:t>Execution of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all Credit Documents and all other certificates executed in connection therewith must be signed by an Authorized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1.12</w:t>
        <w:tab/>
      </w:r>
      <w:r>
        <w:rPr>
          <w:rFonts w:ascii="Times New Roman;Times;Serif" w:hAnsi="Times New Roman;Times;Serif"/>
          <w:b/>
          <w:i w:val="false"/>
          <w:caps w:val="false"/>
          <w:smallCaps w:val="false"/>
          <w:sz w:val="20"/>
        </w:rPr>
        <w:t>Letter of Credit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specified herein, the amount of a Letter of Credit at any time shall be deemed to be the stated amount of such Letter of Credit available to be drawn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1.13</w:t>
        <w:tab/>
      </w:r>
      <w:r>
        <w:rPr>
          <w:rFonts w:ascii="Times New Roman;Times;Serif" w:hAnsi="Times New Roman;Times;Serif"/>
          <w:b/>
          <w:i w:val="false"/>
          <w:caps w:val="false"/>
          <w:smallCaps w:val="false"/>
          <w:sz w:val="20"/>
        </w:rPr>
        <w:t>Divisions.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4"/>
        </w:rPr>
        <w:t>Article II</w:t>
      </w:r>
      <w:r>
        <w:rPr>
          <w:rFonts w:ascii="Times New Roman;Times;Serif" w:hAnsi="Times New Roman;Times;Serif"/>
          <w:b/>
          <w:i w:val="false"/>
          <w:caps/>
          <w:sz w:val="20"/>
        </w:rPr>
        <w:br/>
        <w:br/>
        <w:t>THE LOANS; AMOUNT AND TERMS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2.1</w:t>
        <w:tab/>
      </w:r>
      <w:r>
        <w:rPr>
          <w:rFonts w:ascii="Times New Roman;Times;Serif" w:hAnsi="Times New Roman;Times;Serif"/>
          <w:b/>
          <w:i w:val="false"/>
          <w:caps w:val="false"/>
          <w:smallCaps w:val="false"/>
          <w:sz w:val="20"/>
        </w:rPr>
        <w:t>Revolving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Revolving Commitment</w:t>
      </w:r>
      <w:r>
        <w:rPr>
          <w:rFonts w:ascii="Times New Roman;Times;Serif" w:hAnsi="Times New Roman;Times;Serif"/>
          <w:b w:val="false"/>
          <w:i w:val="false"/>
          <w:caps w:val="false"/>
          <w:smallCaps w:val="false"/>
          <w:sz w:val="20"/>
        </w:rPr>
        <w:t>. During the Commitment Period, subject to the terms and conditions hereof, each Revolving Lender severally, but not jointly, agrees to make revolving credit loans in Dollars (“</w:t>
      </w:r>
      <w:r>
        <w:rPr>
          <w:rFonts w:ascii="Times New Roman;Times;Serif" w:hAnsi="Times New Roman;Times;Serif"/>
          <w:b w:val="false"/>
          <w:i w:val="false"/>
          <w:caps w:val="false"/>
          <w:smallCaps w:val="false"/>
          <w:sz w:val="20"/>
          <w:u w:val="single"/>
        </w:rPr>
        <w:t>Revolving Loans</w:t>
      </w:r>
      <w:r>
        <w:rPr>
          <w:rFonts w:ascii="Times New Roman;Times;Serif" w:hAnsi="Times New Roman;Times;Serif"/>
          <w:b w:val="false"/>
          <w:i w:val="false"/>
          <w:caps w:val="false"/>
          <w:smallCaps w:val="false"/>
          <w:sz w:val="20"/>
        </w:rPr>
        <w:t xml:space="preserve">”) to the Borrowers from time to time in an aggregate principal amount not to exceed its Revolving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regard to each Revolving Lender individually, the making of any such Revolving Loan would not cause such Revolving Lender’s Revolving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Credit Exposure to exceed its Revolving Commitment. Revolving Loans may consist of ABR Loans, RFR Loans or Term Benchmark Loans, or a combination thereof, as the Lead Borrower may request, and may be repaid and reborrowed in accordance with the provisions hereof. Notwithstanding the foregoing, in no event shall the Lead Borrower be permitted to request pursuant to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prior to a Benchmark Transition Event and Benchmark Replacement Date with respect to the Term SOFR Rate, an RFR Loan bearing interest based on Daily Simple SOFR (it being understood and agreed that Daily Simple SOFR shall only apply to the extent provided in </w:t>
      </w:r>
      <w:r>
        <w:rPr>
          <w:rFonts w:ascii="Times New Roman;Times;Serif" w:hAnsi="Times New Roman;Times;Serif"/>
          <w:b w:val="false"/>
          <w:i w:val="false"/>
          <w:caps w:val="false"/>
          <w:smallCaps w:val="false"/>
          <w:sz w:val="20"/>
          <w:u w:val="single"/>
        </w:rPr>
        <w:t>Sections 2.13(a)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2.13(f)</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Revolving Loan Borrowings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The Lead Borrower shall request a Revolving Loan borrowing by delivering a written Notice of Borrowing (or telephone notice promptly confirmed in writing by delivery of a written Notice of Borrowing, which delivery may be by fax) to the Administrative Agent not later than 11:00 A.M. (x) on the Business Day of the requested borrowing in the case of ABR Loans, (y) on the third Business Day prior to the date of the requested borrowing in the case of Term Benchmark Loans and (z) on the fifth U.S. Government Securities Business Day before the date of the requested borrowing in the case of RFR Loans. Each such Notice of Borrowing shall be irrevocable and shall specify (A) that a Revolving Loan is requested, (B) the date of the requested borrowing (which shall be a Business Day), (C) the aggregate principal amount to be borrowed and (D) whether the borrowing shall be comprised of ABR Loans, Term Benchmark Loans, RFR Loans or a combination thereof, and if Term Benchmark Loans are requested, the Interest Period(s) therefor. If the Lead Borrower shall fail to specify in any such Notice of Borrowing the Type of Borrowing being requested, then the requested Borrowing shall be an ABR Borrowing. If the Lead Borrower shall fail to specify an Interest Period for a requested Term Benchmark Borrowing, then such notice shall be deemed to be a request for a Term Benchmark Borrowing with an Interest Period of one month. The Administrative Agent shall give notice to each Revolving Lender promptly upon receipt of each Notice of Borrowing, the contents thereof and each such Revolving Lender’s share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Minimum Amounts</w:t>
      </w:r>
      <w:r>
        <w:rPr>
          <w:rFonts w:ascii="Times New Roman;Times;Serif" w:hAnsi="Times New Roman;Times;Serif"/>
          <w:b w:val="false"/>
          <w:i w:val="false"/>
          <w:caps w:val="false"/>
          <w:smallCaps w:val="false"/>
          <w:sz w:val="20"/>
        </w:rPr>
        <w:t>. Each Revolving Borrowing that is made as an ABR Borrowing or RFR Borrowing shall be in a minimum aggregate amount of $250,000 and in integral multiples of $100,000 in excess thereof (or the remaining amount of the unused Revolving Commitments, if less). Each Revolving Borrowing that is made as a Term Benchmark Borrowing shall be in a minimum aggregate amount of $250,000 and in integral multiples of $100,000 in excess thereof (or the remaining amount of the unused Revolving Commitments, if less).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Advances</w:t>
      </w:r>
      <w:r>
        <w:rPr>
          <w:rFonts w:ascii="Times New Roman;Times;Serif" w:hAnsi="Times New Roman;Times;Serif"/>
          <w:b w:val="false"/>
          <w:i w:val="false"/>
          <w:caps w:val="false"/>
          <w:smallCaps w:val="false"/>
          <w:sz w:val="20"/>
        </w:rPr>
        <w:t>. Each Revolving Lender will make its Revolving Commitment Percentage of each Borrowing of Revolving Loans available to the Administrative Agent for the account of the Borrowers at the office of the Administrative Agent as the Administrative Agent may designate in writing, by 1:00 P.M. on the date specified in the applicable Notice of Borrowing, in Dollars and in funds immediately available to the Administrative Agent. Such borrowing will then be made available to the Borrowers by the Administrative Agent by crediting the account of the Borrowers on the books of such office (or such other account that the Lead Borrower may designate in writing to the Administrative Agent) with the aggregate of the amounts made available to the Administrative Agent by the Revolving Lenders and in like funds as received by the Administrative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Repayment</w:t>
      </w:r>
      <w:r>
        <w:rPr>
          <w:rFonts w:ascii="Times New Roman;Times;Serif" w:hAnsi="Times New Roman;Times;Serif"/>
          <w:b w:val="false"/>
          <w:i w:val="false"/>
          <w:caps w:val="false"/>
          <w:smallCaps w:val="false"/>
          <w:sz w:val="20"/>
        </w:rPr>
        <w:t xml:space="preserve">. Subject to the terms of this Agreement, Revolving Loans may be borrowed, repaid and reborrowed during the Commitment Period, subject to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 xml:space="preserve">. The principal amount of all Revolving Loans shall be due and payable in full on the Revolving Maturity Date, unless accelerated sooner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Revolving Loans shall bear interest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ABR Loans</w:t>
      </w:r>
      <w:r>
        <w:rPr>
          <w:rFonts w:ascii="Times New Roman;Times;Serif" w:hAnsi="Times New Roman;Times;Serif"/>
          <w:b w:val="false"/>
          <w:i w:val="false"/>
          <w:caps w:val="false"/>
          <w:smallCaps w:val="false"/>
          <w:sz w:val="20"/>
        </w:rPr>
        <w:t xml:space="preserve">. During such periods as any Borrowing of Revolving Loans shall be comprised of ABR Loans, each such ABR Loan shall bear interest at a per annum rate equal to the sum of the Alternate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RFR Loans</w:t>
      </w:r>
      <w:r>
        <w:rPr>
          <w:rFonts w:ascii="Times New Roman;Times;Serif" w:hAnsi="Times New Roman;Times;Serif"/>
          <w:b w:val="false"/>
          <w:i w:val="false"/>
          <w:caps w:val="false"/>
          <w:smallCaps w:val="false"/>
          <w:sz w:val="20"/>
        </w:rPr>
        <w:t xml:space="preserve">. During such periods as any Borrowing of Revolving Loans shall be comprised of RFR Loans, each such RFR Loan shall bear interest at a per annum rate equal to the sum of the Adjusted Daily SOFR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Term Benchmark Loans</w:t>
      </w:r>
      <w:r>
        <w:rPr>
          <w:rFonts w:ascii="Times New Roman;Times;Serif" w:hAnsi="Times New Roman;Times;Serif"/>
          <w:b w:val="false"/>
          <w:i w:val="false"/>
          <w:caps w:val="false"/>
          <w:smallCaps w:val="false"/>
          <w:sz w:val="20"/>
        </w:rPr>
        <w:t xml:space="preserve">. During such periods as any Borrowing of Revolving Loans shall be comprised of Term Benchmark Loans, each such Term Benchmark Loan shall bear interest at a per annum rate equal to the sum of the Adjusted Term SOFR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Revolving Loans shall be payable in arrears on each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Revolving Loan Notes; Covenant to Pay</w:t>
      </w:r>
      <w:r>
        <w:rPr>
          <w:rFonts w:ascii="Times New Roman;Times;Serif" w:hAnsi="Times New Roman;Times;Serif"/>
          <w:b w:val="false"/>
          <w:i w:val="false"/>
          <w:caps w:val="false"/>
          <w:smallCaps w:val="false"/>
          <w:sz w:val="20"/>
        </w:rPr>
        <w:t xml:space="preserve">. The Borrowers’ obligations to pay each Revolving Lender shall be evidenced by this Agreement and, upon such Revolving Lender’s request, by a duly executed promissory note of the Borrowers to such Revolving Lender in substantially the form of </w:t>
      </w:r>
      <w:r>
        <w:rPr>
          <w:rFonts w:ascii="Times New Roman;Times;Serif" w:hAnsi="Times New Roman;Times;Serif"/>
          <w:b w:val="false"/>
          <w:i w:val="false"/>
          <w:caps w:val="false"/>
          <w:smallCaps w:val="false"/>
          <w:sz w:val="20"/>
          <w:u w:val="single"/>
        </w:rPr>
        <w:t>Exhibit 2.1(e)</w:t>
      </w:r>
      <w:r>
        <w:rPr>
          <w:rFonts w:ascii="Times New Roman;Times;Serif" w:hAnsi="Times New Roman;Times;Serif"/>
          <w:b w:val="false"/>
          <w:i w:val="false"/>
          <w:caps w:val="false"/>
          <w:smallCaps w:val="false"/>
          <w:sz w:val="20"/>
        </w:rPr>
        <w:t>. The Borrowers, jointly and severally, covenant and agree to pay the Revolving Loans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2.2</w:t>
        <w:tab/>
      </w:r>
      <w:r>
        <w:rPr>
          <w:rFonts w:ascii="Times New Roman;Times;Serif" w:hAnsi="Times New Roman;Times;Serif"/>
          <w:b/>
          <w:i w:val="false"/>
          <w:caps w:val="false"/>
          <w:smallCaps w:val="false"/>
          <w:sz w:val="20"/>
        </w:rPr>
        <w:t>Initial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Initial Term Loans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solely to the satisfaction (or waiver) of the conditions precedent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each Initial Term Loan Lender severally, but not jointly, agrees to make available to the Initial Subsidiary Borrower (through the Administrative Agent) on the Acquisition Closing Date a term loan in Dollars (each, an “</w:t>
      </w:r>
      <w:r>
        <w:rPr>
          <w:rFonts w:ascii="Times New Roman;Times;Serif" w:hAnsi="Times New Roman;Times;Serif"/>
          <w:b w:val="false"/>
          <w:i w:val="false"/>
          <w:caps w:val="false"/>
          <w:smallCaps w:val="false"/>
          <w:sz w:val="20"/>
          <w:u w:val="single"/>
        </w:rPr>
        <w:t>Initial Term Loan</w:t>
      </w:r>
      <w:r>
        <w:rPr>
          <w:rFonts w:ascii="Times New Roman;Times;Serif" w:hAnsi="Times New Roman;Times;Serif"/>
          <w:b w:val="false"/>
          <w:i w:val="false"/>
          <w:caps w:val="false"/>
          <w:smallCaps w:val="false"/>
          <w:sz w:val="20"/>
        </w:rPr>
        <w:t>”, and the Initial Term Loans and the Initial Term Loan Commitments, collectively, the “</w:t>
      </w:r>
      <w:r>
        <w:rPr>
          <w:rFonts w:ascii="Times New Roman;Times;Serif" w:hAnsi="Times New Roman;Times;Serif"/>
          <w:b w:val="false"/>
          <w:i w:val="false"/>
          <w:caps w:val="false"/>
          <w:smallCaps w:val="false"/>
          <w:sz w:val="20"/>
          <w:u w:val="single"/>
        </w:rPr>
        <w:t>Initial Term Loan Facility</w:t>
      </w:r>
      <w:r>
        <w:rPr>
          <w:rFonts w:ascii="Times New Roman;Times;Serif" w:hAnsi="Times New Roman;Times;Serif"/>
          <w:b w:val="false"/>
          <w:i w:val="false"/>
          <w:caps w:val="false"/>
          <w:smallCaps w:val="false"/>
          <w:sz w:val="20"/>
        </w:rPr>
        <w:t xml:space="preserve">”) in a principal amount equal to its Initial Term Loan Commitment. Upon receipt by the Administrative Agent of the proceeds of the Initial Term Loans, such proceeds will then be made available to the Initial Subsidiary Borrower by the Administrative Agent by crediting the account of the Initial Subsidiary Borrower on the books of the office of the Administrative Agent as the Administrative Agent may designate in writing, with the aggregate of such proceeds made available to the Administrative Agent by the Initial Term Loan Lenders and in like funds as received by the Administrative Agent (or by crediting such other account(s) as directed by the Initial Subsidiary Borrower as are reasonably acceptable to the Administrative Agent). The Initial Term Loans may consist of ABR Loans, RFR Loans or Term Benchmark Loans, or a combination thereof, as the Initial Subsidiary Borrower may request in the Notice of Borrowing delivered to the Administrative Agent prior to the Acquisition Closing Date. Notwithstanding the foregoing, in no event shall the Initial Subsidiary Borrower be permitted to request pursuant to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prior to a Benchmark Transition Event and Benchmark Replacement Date with respect to the Term SOFR Rate, an RFR Loan bearing interest based on Daily Simple SOFR (it being understood and agreed that Daily Simple SOFR shall only apply to the extent provided in </w:t>
      </w:r>
      <w:r>
        <w:rPr>
          <w:rFonts w:ascii="Times New Roman;Times;Serif" w:hAnsi="Times New Roman;Times;Serif"/>
          <w:b w:val="false"/>
          <w:i w:val="false"/>
          <w:caps w:val="false"/>
          <w:smallCaps w:val="false"/>
          <w:sz w:val="20"/>
          <w:u w:val="single"/>
        </w:rPr>
        <w:t>Sections 2.13(a)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2.13(f)</w:t>
      </w:r>
      <w:r>
        <w:rPr>
          <w:rFonts w:ascii="Times New Roman;Times;Serif" w:hAnsi="Times New Roman;Times;Serif"/>
          <w:b w:val="false"/>
          <w:i w:val="false"/>
          <w:caps w:val="false"/>
          <w:smallCaps w:val="false"/>
          <w:sz w:val="20"/>
        </w:rPr>
        <w:t>, as applicable). Amounts repaid or prepaid on the Initial Term Loans may not be reborrowed.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Repayment of Initial Term Loan</w:t>
      </w:r>
      <w:r>
        <w:rPr>
          <w:rFonts w:ascii="Times New Roman;Times;Serif" w:hAnsi="Times New Roman;Times;Serif"/>
          <w:b w:val="false"/>
          <w:i w:val="false"/>
          <w:caps w:val="false"/>
          <w:smallCaps w:val="false"/>
          <w:sz w:val="20"/>
        </w:rPr>
        <w:t>. The principal amount of the Initial Term Loans shall be repaid in consecutive quarterly installments on the last day of each March, June, September and December (commencing on the first such day that is at least three (3) full calendar months after the Acquisition Closing Date) prior to the Term Maturity Date in an amount for each such installment equal to (x) for any such day that is on or prior to the one year anniversary of the Closing Date, 0.625% of the original principal amount of the Initial Term Loans funded on the Acquisition Closing Date, (y) for any such day that is following the one year anniversary of the Closing Date but on or prior to the three year anniversary of the Closing Date, 1.25% of the original principal amount of the Initial Term Loans funded on the Acquisition Closing Date and (z) for any such day that is following the three year anniversary of the Closing Date, 1.875% of the original principal amount of the Initial Term Loans funded on the Acquisition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if any such payment date is not a Business Day, such payment shall be due on the preceding Business Day), unless accelerated sooner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(which payments shall be (x) reduced as a result of the application of prepayments in accordance with the order of priority set forth in </w:t>
      </w:r>
      <w:r>
        <w:rPr>
          <w:rFonts w:ascii="Times New Roman;Times;Serif" w:hAnsi="Times New Roman;Times;Serif"/>
          <w:b w:val="false"/>
          <w:i w:val="false"/>
          <w:caps w:val="false"/>
          <w:smallCaps w:val="false"/>
          <w:sz w:val="20"/>
          <w:u w:val="single"/>
        </w:rPr>
        <w:t>Sections 2.7(b)(vii)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2.7(c)</w:t>
      </w:r>
      <w:r>
        <w:rPr>
          <w:rFonts w:ascii="Times New Roman;Times;Serif" w:hAnsi="Times New Roman;Times;Serif"/>
          <w:b w:val="false"/>
          <w:i w:val="false"/>
          <w:caps w:val="false"/>
          <w:smallCaps w:val="false"/>
          <w:sz w:val="20"/>
        </w:rPr>
        <w:t xml:space="preserve"> or (y) increased in accordance with the immediately succeeding sentence and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as applicable). In connection with any Incremental Term Facilities that will constitute part of the same Class as the Initial Term Loans, the amount of the scheduled amortization payment that would otherwise be required pursuant to the immediately preceding sentence shall be increased for the Lenders on a pro rata basis to the extent necessary to ensure that the Lenders holding Initial Term Loans continue to receive a payment that is not less than the same amount that such Lenders would have received absent the incurrence of such Incremental Term Facilities (i.e., the amortization percentage set forth in the immediately preceding sentence shall be automatically adjusted to reflect the Modified Amortization Percentage);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Incremental Term Facilities are to be fungible with the Initial Term Loans, notwithstanding any other conditions specified in this </w:t>
      </w:r>
      <w:r>
        <w:rPr>
          <w:rFonts w:ascii="Times New Roman;Times;Serif" w:hAnsi="Times New Roman;Times;Serif"/>
          <w:b w:val="false"/>
          <w:i w:val="false"/>
          <w:caps w:val="false"/>
          <w:smallCaps w:val="false"/>
          <w:sz w:val="20"/>
          <w:u w:val="single"/>
        </w:rPr>
        <w:t>Section 2.2(a)(ii)</w:t>
      </w:r>
      <w:r>
        <w:rPr>
          <w:rFonts w:ascii="Times New Roman;Times;Serif" w:hAnsi="Times New Roman;Times;Serif"/>
          <w:b w:val="false"/>
          <w:i w:val="false"/>
          <w:caps w:val="false"/>
          <w:smallCaps w:val="false"/>
          <w:sz w:val="20"/>
        </w:rPr>
        <w:t xml:space="preserve">, the amortization schedule for such fungible Incremental Term Facilities may provide for amortization based on the Modified Amortization Percentage to ensure that such Incremental Term Facilities will be fungible with the Initial Term Loans;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without the consent of any other Credit Party or Lender, the Lead Borrower and the Administrative Agent may effect such amendments to this Agreement as may be necessary or appropriate, in the reasonable opinion of the Administrative Agent and the Lead Borrower, to effect the provisions of this </w:t>
      </w:r>
      <w:r>
        <w:rPr>
          <w:rFonts w:ascii="Times New Roman;Times;Serif" w:hAnsi="Times New Roman;Times;Serif"/>
          <w:b w:val="false"/>
          <w:i w:val="false"/>
          <w:caps w:val="false"/>
          <w:smallCaps w:val="false"/>
          <w:sz w:val="20"/>
          <w:u w:val="single"/>
        </w:rPr>
        <w:t>Section 2.2(a)(ii)</w:t>
      </w:r>
      <w:r>
        <w:rPr>
          <w:rFonts w:ascii="Times New Roman;Times;Serif" w:hAnsi="Times New Roman;Times;Serif"/>
          <w:b w:val="false"/>
          <w:i w:val="false"/>
          <w:caps w:val="false"/>
          <w:smallCaps w:val="false"/>
          <w:sz w:val="20"/>
        </w:rPr>
        <w:t xml:space="preserve">. The immediately preceding sentence of this </w:t>
      </w:r>
      <w:r>
        <w:rPr>
          <w:rFonts w:ascii="Times New Roman;Times;Serif" w:hAnsi="Times New Roman;Times;Serif"/>
          <w:b w:val="false"/>
          <w:i w:val="false"/>
          <w:caps w:val="false"/>
          <w:smallCaps w:val="false"/>
          <w:sz w:val="20"/>
          <w:u w:val="single"/>
        </w:rPr>
        <w:t>Section 2.2(a)(ii)</w:t>
      </w:r>
      <w:r>
        <w:rPr>
          <w:rFonts w:ascii="Times New Roman;Times;Serif" w:hAnsi="Times New Roman;Times;Serif"/>
          <w:b w:val="false"/>
          <w:i w:val="false"/>
          <w:caps w:val="false"/>
          <w:smallCaps w:val="false"/>
          <w:sz w:val="20"/>
        </w:rPr>
        <w:t xml:space="preserve"> shall supersede any provision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to the contrary. The Borrowers shall, jointly and severally, repay the aggregate outstanding principal amount of any Term Loans funded under an Incremental Term Facility that is a separate tranche in accordance with the applicable terms set forth in the Incremental Facility Amendment pursuant to which such Incremental Term Facility is added to this Agreement or established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amount of the Initial Term Loans and all accrued but unpaid interest and other amounts payable with respect to the Initial Term Loans shall be repaid on the Term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Interest on the Initial Term Loans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the Initial Term Loans shall bear interest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ABR Loans</w:t>
      </w:r>
      <w:r>
        <w:rPr>
          <w:rFonts w:ascii="Times New Roman;Times;Serif" w:hAnsi="Times New Roman;Times;Serif"/>
          <w:b w:val="false"/>
          <w:i w:val="false"/>
          <w:caps w:val="false"/>
          <w:smallCaps w:val="false"/>
          <w:sz w:val="20"/>
        </w:rPr>
        <w:t xml:space="preserve">. During such periods as any Borrowing of Initial Term Loans shall be comprised of ABR Loans, each such ABR Loan shall bear interest at a per annum rate equal to the sum of the Alternate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RFR Loans</w:t>
      </w:r>
      <w:r>
        <w:rPr>
          <w:rFonts w:ascii="Times New Roman;Times;Serif" w:hAnsi="Times New Roman;Times;Serif"/>
          <w:b w:val="false"/>
          <w:i w:val="false"/>
          <w:caps w:val="false"/>
          <w:smallCaps w:val="false"/>
          <w:sz w:val="20"/>
        </w:rPr>
        <w:t xml:space="preserve">. During such periods as any Borrowing of Initial Term Loans shall be comprised of RFR Loans, each such RFR Loan shall bear interest at a per annum rate equal to the sum of the Adjusted Daily SOFR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Term Benchmark Loans</w:t>
      </w:r>
      <w:r>
        <w:rPr>
          <w:rFonts w:ascii="Times New Roman;Times;Serif" w:hAnsi="Times New Roman;Times;Serif"/>
          <w:b w:val="false"/>
          <w:i w:val="false"/>
          <w:caps w:val="false"/>
          <w:smallCaps w:val="false"/>
          <w:sz w:val="20"/>
        </w:rPr>
        <w:t xml:space="preserve">. During such periods as any Borrowing of Initial Term Loans shall be comprised of Term Benchmark Loans, each such Term Benchmark Loan shall bear interest at a per annum rate equal to the sum of the Adjusted Term SOFR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Initial Term Loans shall be payable in arrears on each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 Loan Notes; Covenant to Pay</w:t>
      </w:r>
      <w:r>
        <w:rPr>
          <w:rFonts w:ascii="Times New Roman;Times;Serif" w:hAnsi="Times New Roman;Times;Serif"/>
          <w:b w:val="false"/>
          <w:i w:val="false"/>
          <w:caps w:val="false"/>
          <w:smallCaps w:val="false"/>
          <w:sz w:val="20"/>
        </w:rPr>
        <w:t xml:space="preserve">. The Borrowers’ obligations to pay each Term Loan Lender shall be evidenced by this Agreement and, upon such Term Loan Lender’s request, by a duly executed promissory note of the Borrowers to such Term Loan Lender in substantially the form of </w:t>
      </w:r>
      <w:r>
        <w:rPr>
          <w:rFonts w:ascii="Times New Roman;Times;Serif" w:hAnsi="Times New Roman;Times;Serif"/>
          <w:b w:val="false"/>
          <w:i w:val="false"/>
          <w:caps w:val="false"/>
          <w:smallCaps w:val="false"/>
          <w:sz w:val="20"/>
          <w:u w:val="single"/>
        </w:rPr>
        <w:t>Exhibit 2.2(c)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the Initial Term Loans borrowed by the Initial Subsidiary Borrower, any such promissory note shall be executed solely by the Initial Subsidiary Borrower. The Borrowers, jointly and severally, covenant and agree to pay the Term Loans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2.3</w:t>
        <w:tab/>
      </w:r>
      <w:r>
        <w:rPr>
          <w:rFonts w:ascii="Times New Roman;Times;Serif" w:hAnsi="Times New Roman;Times;Serif"/>
          <w:b/>
          <w:i w:val="false"/>
          <w:caps w:val="false"/>
          <w:smallCaps w:val="false"/>
          <w:sz w:val="20"/>
        </w:rPr>
        <w:t>Letter of Credit Subfacility.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Issuance</w:t>
      </w:r>
      <w:r>
        <w:rPr>
          <w:rFonts w:ascii="Times New Roman;Times;Serif" w:hAnsi="Times New Roman;Times;Serif"/>
          <w:b w:val="false"/>
          <w:i w:val="false"/>
          <w:caps w:val="false"/>
          <w:smallCaps w:val="false"/>
          <w:sz w:val="20"/>
        </w:rPr>
        <w:t xml:space="preserve">. Subject to the terms and conditions hereof and of the LOC Documents, if any, and any other terms and conditions which an Issuing Lender may reasonably require, during the Commitment Period, each Issuing Lender shall issue, and the Revolving Lenders shall participate in, standby Letters of Credit for the account of the Borrowers from time to time upon request in a form acceptable to the Issuing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the aggregate amount of LOC Obligations in respect of Letters of Credit issued by any Issuing Lender shall not exceed such Issuing Lender’s Letter of Credit Commitment, (ii) no Letter of Credit shall be issued or increased if it would cause any Revolving Lender’s Revolving Credit Exposure to exceed such Lender’s Revolving Commitment, (iii) all Letters of Credit shall be denominated in Dollars and (iv) there shall be no more than twenty (20) Letters of Credit outstanding at any time. Except as otherwise expressly agreed in writing upon by all the Revolving Lenders, no Letter of Credit shall have an original expiry date more than the earlier of (i) twelve (12) months from the date of issuance (unless otherwise agreed by the applicable Issuing Lender) and (ii) the fifth Business Day prior to the Revolving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so long as no Event of Default has occurred and is continuing and subject to the other terms and conditions to the issuance of Letters of Credit hereunder, the expiry dates of Letters of Credit may be extended annually or periodically from time to time on the request of the Borrowers or by operation of the terms of the applicable Letter of Credit to a date not more than twelve (12) months from the date of extension;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Letter of Credit, as originally issued or as extended, shall have an expiry date extending beyond the date that is five (5) Business Days prior to the Revolving Maturity Date except to the extent (1) each Revolving Lender has approved such later expiry date or (2) such Letter of Credit is Cash Collateralized in an amount equal to 103% of the LOC Obligations attributable to such Letter of Credit or is backstopped in each case pursuant to arrangements reasonably acceptable to the Administrative Agent and the applicable Issuing Lender, in each case, on or prior to the date of issuance or extension of such Letter of Credit with an expiry date that is beyond five (5) Business Days prior to the Revolving Maturity Date. Each Letter of Credit shall comply with the related LOC Documents. The issuance and expiry date of each Letter of Credit shall be a Business Day. Each Letter of Credit issued hereunder shall be in a minimum original face amount of $100,000 or such lesser amount as approved by the Issuing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and Reports</w:t>
      </w:r>
      <w:r>
        <w:rPr>
          <w:rFonts w:ascii="Times New Roman;Times;Serif" w:hAnsi="Times New Roman;Times;Serif"/>
          <w:b w:val="false"/>
          <w:i w:val="false"/>
          <w:caps w:val="false"/>
          <w:smallCaps w:val="false"/>
          <w:sz w:val="20"/>
        </w:rPr>
        <w:t>. The request for the issuance of a Letter of Credit shall be submitted to the Issuing Lender at least five (5) Business Days prior to the requested date of issuance. The Issuing Lender will promptly upon request provide to the Administrative Agent for dissemination to the Revolving Lenders a detailed report specifying the Letters of Credit which are then issued and outstanding and any activity with respect thereto which may have occurred since the date of any prior report, and including therein, among other things, the account party, the beneficiary, the face amount, expiry date as well as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or expirations which may have occurred. The Issuing Lender will further provide to the Administrative Agent promptly upon request copies of the Letters of Credit. The Issuing Lender will provide to the Administrative Agent promptly upon request a summary report of the nature and extent of LOC Obligations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xml:space="preserve">. Each Revolving Lender upon issuance of a Letter of Credit, shall be deemed to have purchased without recourse a risk participation from the Issuing Lender in such Letter of Credit and the obligations arising thereunder and any Collateral relating thereto, in each case in an amount equal to its Revolving Commitment Percentage of the obligations under such Letter of Credit and shall absolutely, unconditionally and irrevocably assume, as primary obligor and not as surety, and be obligated to pay to the Issuing Lender therefor and discharge when due, its Revolving Commitment Percentage of the obligations arising under such Letter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Person that becomes a Revolving Lender after the Closing Date shall be deemed to have purchased a Participation Interest in all outstanding Letters of Credit on the date it becomes a Lender hereunder and any Letter of Credit issued on or after such date, in each case in accordance with the foregoing terms. Without limiting the scope and nature of each Revolving Lender’s participation in any Letter of Credit, to the extent that the Issuing Lender has not been reimbursed as required hereunder or under any LOC Document, each such Revolving Lender shall pay to the Issuing Lender its Revolving Commitment Percentage of such unreimbursed drawing in same day funds pursuant to and in accordance with the provisions of subsection (d) hereof. The obligation of each Revolving Lender to so reimburse the Issuing Lender shall be absolute and unconditional and shall not be affected by the occurrence of a Default, an Event of Default or any other occurrence or event. Any such reimbursement shall not relieve or otherwise impair the obligation of the Borrowers to reimburse the Issuing Lender under any Letter of Credit, together with interest as hereinafter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In the event of any drawing under any Letter of Credit, the Issuing Lender will promptly notify the Lead Borrower and the Administrative Agent. The Borrowers shall, jointly and severally, reimburse the Issuing Lender the Business Day immediately following the day of drawing under any Letter of Credit if notified prior to 3:00 P.M. on a Business Day or, if after 3:00 P.M., on the next following Business Day (either with the proceeds of a Revolving Loan obtained hereunder or otherwise) in same day funds as provided herein or in the LOC Documents. If the Borrowers shall fail to reimburse the Issuing Lender as provided herein, the unreimbursed amount of such drawing shall automatically bear interest at a per annum rate equal to the Default Rate. Unless the Lead Borrower shall immediately notify the Issuing Lender and the Administrative Agent of its intent to otherwise reimburse the Issuing Lender, the Lead Borrower shall be deemed to have requested a Mandatory LOC Borrowing in the amount of the drawing as provided in subsection (e) hereof, the proceeds of which will be used to satisfy the Reimbursement Obligations, in which event any such drawing shall not automatically bear interest at the Default Rate. The Borrowers’ Reimbursement Obligations hereunder shall be absolute and unconditional under all circumstances irrespective of any rights of set-off, counterclaim or defense to payment any Borrower may claim or have against an Issuing Lender, the Administrative Agent, any Lender, the beneficiary of the Letter of Credit drawn upon or any other Person, including, without limitation, any defense based on any failure of any Borrower to receive consideration or the legality, validity, regularity or unenforceability of the Letter of Credit. The Administrative Agent will promptly notify the other Revolving Lenders of the amount of any unreimbursed drawing and each Revolving Lender shall promptly pay to the Administrative Agent for the account of the applicable Issuing Lender, in Dollars and in immediately available funds, the amount of such Revolving Lender’s Revolving Commitment Percentage of such unreimbursed drawing. Such payment shall be made by 12:00 noon on the Business Day such notice is received by such Revolving Lender from the Administrative Agent if such notice is received at or before 10:00 A.M., otherwise such payment shall be made at or before 12:00 noon, on the Business Day next succeeding the Business Day such notice is received. If such Revolving Lender does not pay such amount to the Administrative Agent for the account of the applicable Issuing Lender in full upon such request, such Revolving Lender shall, on demand, pay to the Administrative Agent for the account of the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Issuing Lender interest on the unpaid amount during the period from the date of such drawing until such Revolving Lender pays such amount to the Administrative Agent for the account of such Issuing Lender in full at a rate per annum equal to, if paid within two (2) Business Days of the date of drawing, the NYFRB Rate and thereafter at a rate equal to the Alternate Base Rate. Each Revolving Lender’s obligation to make such payment to the Issuing Lender, and the right of the Issuing Lender to receive the same, shall be absolute and unconditional, shall not be affected by any circumstance whatsoever and without regard to the termination of this Agreement or the Commitments hereunder, the existence of a Default or Event of Default or the acceleration of the Obligations hereunder and shall be made without any offset, abatement, withholding or reduction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Repayment with Revolving Loans</w:t>
      </w:r>
      <w:r>
        <w:rPr>
          <w:rFonts w:ascii="Times New Roman;Times;Serif" w:hAnsi="Times New Roman;Times;Serif"/>
          <w:b w:val="false"/>
          <w:i w:val="false"/>
          <w:caps w:val="false"/>
          <w:smallCaps w:val="false"/>
          <w:sz w:val="20"/>
        </w:rPr>
        <w:t>. On any day on which the Lead Borrower shall have requested, or been deemed to have requested, a Revolving Loan to reimburse a drawing under a Letter of Credit, the Administrative Agent shall give notice to the Revolving Lenders that a Revolving Loan has been requested or deemed requested in connection with a drawing under a Letter of Credit, in which case a Borrowing of Revolving Loans comprised entirely of ABR Loans (each such borrowing, a “</w:t>
      </w:r>
      <w:r>
        <w:rPr>
          <w:rFonts w:ascii="Times New Roman;Times;Serif" w:hAnsi="Times New Roman;Times;Serif"/>
          <w:b w:val="false"/>
          <w:i w:val="false"/>
          <w:caps w:val="false"/>
          <w:smallCaps w:val="false"/>
          <w:sz w:val="20"/>
          <w:u w:val="single"/>
        </w:rPr>
        <w:t>Mandatory LOC Borrowing</w:t>
      </w:r>
      <w:r>
        <w:rPr>
          <w:rFonts w:ascii="Times New Roman;Times;Serif" w:hAnsi="Times New Roman;Times;Serif"/>
          <w:b w:val="false"/>
          <w:i w:val="false"/>
          <w:caps w:val="false"/>
          <w:smallCaps w:val="false"/>
          <w:sz w:val="20"/>
        </w:rPr>
        <w:t xml:space="preserve">”) shall be made (without giving effect to any termination of the Commitments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pro rata based on each Revolving Lender’s respective Revolving Commitment Percentage (determined before giving effect to any termination of the Commitments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and the proceeds thereof shall be paid directly to the Administrative Agent for the account of the Issuing Lender for application to the respective LOC Obligations. Each Revolving Lender hereby irrevocably agrees to make such Revolving Loans on the day such notice is received by the Revolving Lenders from the Administrative Agent if such notice is received at or before 2:00 P.M., otherwise such payment shall be made at or before 12:00 noon, on the Business Day next succeeding the day such notice is received, in each case notwithstanding (i) the amount of Mandatory LOC Borrowing may not comply with the minimum amount for borrowings of Revolving Loans otherwise required hereunder, (ii) whether any conditions specified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are then satisfied, (iii) whether a Default or an Event of Default then exists, (iv) failure for any such request or deemed request for Revolving Loan to be made by the time otherwise required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(v) the date of such Mandatory LOC Borrowing, or (vi) any reduction in the Revolving Commitments after any such Letter of Credit may have been drawn upon. In the event that any Mandatory LOC Borrowing cannot for any reason be made on the date otherwise required above (including, without limitation, as a result of the occurrence of a Bankruptcy Event), then each such Revolving Lender hereby agrees that it shall forthwith fund its Participation Interests in the outstanding LOC Obligations on the Business Day such notice to fund is received by such Revolving Lender from the Administrative Agent if such notice is received at or before 2:00 P.M., otherwise such payment shall be made at or before 12:00 noon, on the Business Day next succeeding the Business Day such notice is received;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the event any Lender shall fail to fund its Participation Interest as required herein, then the amount of such Revolving Lender’s unfunded Participation Interest therein shall automatically bear interest payable by such Revolving Lender to the Administrative Agent for the account of the Issuing Lender upon demand, at the rate equal to, if paid within two (2) Business Days of such date, the NYFRB Rate, and thereafter at a rate equal to the Alternate Base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Modification, Extension</w:t>
      </w:r>
      <w:r>
        <w:rPr>
          <w:rFonts w:ascii="Times New Roman;Times;Serif" w:hAnsi="Times New Roman;Times;Serif"/>
          <w:b w:val="false"/>
          <w:i w:val="false"/>
          <w:caps w:val="false"/>
          <w:smallCaps w:val="false"/>
          <w:sz w:val="20"/>
        </w:rPr>
        <w:t>. The issuance of any supplement, modification, amendment, renewal, or extension to any Letter of Credit shall, for purposes hereof, be treated in all respects the same as the issuance of a new Letter of Credit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Conflict with LOC Documents</w:t>
      </w:r>
      <w:r>
        <w:rPr>
          <w:rFonts w:ascii="Times New Roman;Times;Serif" w:hAnsi="Times New Roman;Times;Serif"/>
          <w:b w:val="false"/>
          <w:i w:val="false"/>
          <w:caps w:val="false"/>
          <w:smallCaps w:val="false"/>
          <w:sz w:val="20"/>
        </w:rPr>
        <w:t>. In the event of any conflict between this Agreement and any LOC Document (including any letter of credit application), this Agreement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Designation of Subsidiaries as Account Parties</w:t>
      </w:r>
      <w:r>
        <w:rPr>
          <w:rFonts w:ascii="Times New Roman;Times;Serif" w:hAnsi="Times New Roman;Times;Serif"/>
          <w:b w:val="false"/>
          <w:i w:val="false"/>
          <w:caps w:val="false"/>
          <w:smallCaps w:val="false"/>
          <w:sz w:val="20"/>
        </w:rPr>
        <w:t xml:space="preserve">. Notwithstanding anything to the contrary set forth in this Agreement, including, without limitation,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a Letter of Credit issued hereunder may contain a statement to the effect that such Letter of Credit is issued for the account of a Restricted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Subsidiary of the Lead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such statement, the Borrowers shall be the actual account parties for all purposes of this Agreement for such Letter of Credit and such statement shall not affect any Borrower’s Reimbursement Obligations hereunder with respect to such Letter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Designation of Additional Issuing Lenders</w:t>
      </w:r>
      <w:r>
        <w:rPr>
          <w:rFonts w:ascii="Times New Roman;Times;Serif" w:hAnsi="Times New Roman;Times;Serif"/>
          <w:b w:val="false"/>
          <w:i w:val="false"/>
          <w:caps w:val="false"/>
          <w:smallCaps w:val="false"/>
          <w:sz w:val="20"/>
        </w:rPr>
        <w:t>. The Lead Borrower may, at any time and from time to time, designate as additional Issuing Lenders one or more Revolving Lenders reasonably acceptable to the Administrative Agent and the Lead Borrower that agree to serve in such capacity as provided below. The acceptance by a Revolving Lender of an appointment as an Issuing Lender hereunder shall be evidenced by an agreement, which shall be in form and substance reasonably satisfactory to the Administrative Agent and the Lead Borrower, executed by the Lead Borrower, the Administrative Agent and such designated Revolving Lender and, from and after the effective date of such agreement, (i) such Revolving Lender shall have all the rights and obligations of an Issuing Lender under this Agreement and (ii) references herein to the term “Issuing Lender” shall be deemed to include such Revolving Lender in its capacity as an issuer of Letters of Credit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Replacement and Resignation of Issuing Lender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tab/>
        <w:t>An Issuing Lender may be replaced at any time by written agreement among the Lead Borrower, the Administrative Agent, the replaced Issuing Lender and the successor Issuing Lender. The Administrative Agent shall notify the Lenders of any such replacement of an Issuing Lender. At the time any such replacement shall become effective, the Borrowers shall, jointly and severally, pay all unpaid fees accrued for the account of the replaced Issuing Lender pursuant to this Agreement. From and after the effective date of any such replacement, (x) the successor Issuing Lender shall have all the rights and obligations of an Issuing Lender under this Agreement with respect to Letters of Credit to be issued by it thereafter and (y) references herein to the term “Issuing Lender” shall be deemed to include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 or extend or otherwise amend any existing Letter of Credit.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appointment and acceptance of a successor Issuing Lender, any Issuing Lender may resign as an Issuing Lender at any time upon thirty days’ prior written notice to the Administrative Agent, the Lead Borrower and the Lenders, in which case, such resigning Issuing Lender shall be replaced in accordance with clause (i)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xml:space="preserve">. At any point in time in which there is a Defaulting Lender, each Issuing Lender may require the Borrowers to Cash Collateralize the LOC Obligations in respect of Letters of Credit issued by it in accordance with and to the extent provided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2.4</w:t>
        <w:tab/>
      </w:r>
      <w:r>
        <w:rPr>
          <w:rFonts w:ascii="Times New Roman;Times;Serif" w:hAnsi="Times New Roman;Times;Serif"/>
          <w:b/>
          <w:i w:val="false"/>
          <w:caps w:val="false"/>
          <w:smallCaps w:val="false"/>
          <w:sz w:val="20"/>
        </w:rPr>
        <w:t>Swingline Loan Subfacility.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During the Commitment Period, subject to the terms and conditions hereof, the Swingline Lender, in its individual capacity, may, in its sole discretion, make certain revolving credit loans to the Borrowers (each a “</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 xml:space="preserve">”) for the purposes hereinafter set forth;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 the aggregate principal amount of Swingline Loans outstanding at any time shall not exceed $10,000,000 (the “</w:t>
      </w:r>
      <w:r>
        <w:rPr>
          <w:rFonts w:ascii="Times New Roman;Times;Serif" w:hAnsi="Times New Roman;Times;Serif"/>
          <w:b w:val="false"/>
          <w:i w:val="false"/>
          <w:caps w:val="false"/>
          <w:smallCaps w:val="false"/>
          <w:sz w:val="20"/>
          <w:u w:val="single"/>
        </w:rPr>
        <w:t>Swingline Committed Amount</w:t>
      </w:r>
      <w:r>
        <w:rPr>
          <w:rFonts w:ascii="Times New Roman;Times;Serif" w:hAnsi="Times New Roman;Times;Serif"/>
          <w:b w:val="false"/>
          <w:i w:val="false"/>
          <w:caps w:val="false"/>
          <w:smallCaps w:val="false"/>
          <w:sz w:val="20"/>
        </w:rPr>
        <w:t>”), and (ii) after giving effect to any such Swingline Loan, the Revolving Credit Exposure of any Revolving Lender shall not exceed such Revolving Lender’s Revolving Credit Commitment. Swingline Loans hereunder may be repaid and reborrowed in accordance with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Swingline Loan Borrowings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Notice of Borrowing and Disbursement</w:t>
      </w:r>
      <w:r>
        <w:rPr>
          <w:rFonts w:ascii="Times New Roman;Times;Serif" w:hAnsi="Times New Roman;Times;Serif"/>
          <w:b w:val="false"/>
          <w:i w:val="false"/>
          <w:caps w:val="false"/>
          <w:smallCaps w:val="false"/>
          <w:sz w:val="20"/>
        </w:rPr>
        <w:t>. Upon receiving a Notice of Borrowing from the Lead Borrower not later than 10:00 A.M. on any Business Day requesting that a Swingline Loan be made, the Swingline Lender will, if it so elects in its sole discretion and in reliance upon the agreements of the other Lenders set forth in this Section, make Swingline Loans available to the Borrowers on the same Business Day such request is received by the Administrative Agent (each a “</w:t>
      </w:r>
      <w:r>
        <w:rPr>
          <w:rFonts w:ascii="Times New Roman;Times;Serif" w:hAnsi="Times New Roman;Times;Serif"/>
          <w:b w:val="false"/>
          <w:i w:val="false"/>
          <w:caps w:val="false"/>
          <w:smallCaps w:val="false"/>
          <w:sz w:val="20"/>
          <w:u w:val="single"/>
        </w:rPr>
        <w:t>Swingline Borrowing</w:t>
      </w:r>
      <w:r>
        <w:rPr>
          <w:rFonts w:ascii="Times New Roman;Times;Serif" w:hAnsi="Times New Roman;Times;Serif"/>
          <w:b w:val="false"/>
          <w:i w:val="false"/>
          <w:caps w:val="false"/>
          <w:smallCaps w:val="false"/>
          <w:sz w:val="20"/>
        </w:rPr>
        <w:t>”). Each such notice of a Swingline Borrowing shall be irrevocable and shall specify (i) the principal amount of such Swingline Borrowing, (ii) the date of such Swingline Borrowing (which shall be a Business Day) and (iii) the account of the Borrowers to which the proceeds of such Swingline Borrowing should be credited. Swingline Loan borrowings hereunder shall be made in minimum amounts of $250,000 (or the remaining available amount of the Swingline Committed Amount if less) and in integral amounts of $100,000 in excess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Repayment of Swingline Loans</w:t>
      </w:r>
      <w:r>
        <w:rPr>
          <w:rFonts w:ascii="Times New Roman;Times;Serif" w:hAnsi="Times New Roman;Times;Serif"/>
          <w:b w:val="false"/>
          <w:i w:val="false"/>
          <w:caps w:val="false"/>
          <w:smallCaps w:val="false"/>
          <w:sz w:val="20"/>
        </w:rPr>
        <w:t xml:space="preserve">. Each Swingline Loan borrowing shall be due and payable on the earliest of (A) the Maturity Date, (B) five (5) Business Days following such borrowing and (C) the date of any Revolving Loan borrowing while any Swingline Loan is outstanding. The Swingline Lender may, at any time, in its sole discretion, by written notice to the Lead Borrower and the Administrative Agent, demand repayment of its Swingline Loans by way of a Revolving Loan borrowing, in which case the Borrowers shall be deemed to have requested a Revolving Loan borrowing comprised entirely of ABR Loans in the amount of such Swingline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following circumstances, any such demand shall also be deemed to have been given one Business Day prior to each of (A) the Maturity Date, (B) the occurrence of any Bankruptcy Event, (C) upon acceleration of the Obligations hereunder, whether on account of a Bankruptcy Event or any other Event of Default, and (D) the exercise of remedies in accordance with the provisions of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hereof (each such Revolving Loan borrowing made on account of any such deemed request therefor as provided herein being hereinafter referred to as “</w:t>
      </w:r>
      <w:r>
        <w:rPr>
          <w:rFonts w:ascii="Times New Roman;Times;Serif" w:hAnsi="Times New Roman;Times;Serif"/>
          <w:b w:val="false"/>
          <w:i w:val="false"/>
          <w:caps w:val="false"/>
          <w:smallCaps w:val="false"/>
          <w:sz w:val="20"/>
          <w:u w:val="single"/>
        </w:rPr>
        <w:t>Mandatory Swingline Borrowing</w:t>
      </w:r>
      <w:r>
        <w:rPr>
          <w:rFonts w:ascii="Times New Roman;Times;Serif" w:hAnsi="Times New Roman;Times;Serif"/>
          <w:b w:val="false"/>
          <w:i w:val="false"/>
          <w:caps w:val="false"/>
          <w:smallCaps w:val="false"/>
          <w:sz w:val="20"/>
        </w:rPr>
        <w:t xml:space="preserve">”). Each Revolving Lender hereby irrevocably agrees to make such Revolving Loans promptly upon any such request or deemed request on account of each Mandatory Swingline Borrowing in the amount and in the manner specified in the preceding sentence on the date such notice is received by the Revolving Lenders from the Administrative Agent if such notice is received at or before 2:00 P.M., otherwise such payment shall be made at or before 12:00 noon, on the Business Day next succeeding the date such notice is received </w:t>
      </w:r>
      <w:r>
        <w:rPr>
          <w:rFonts w:ascii="Times New Roman;Times;Serif" w:hAnsi="Times New Roman;Times;Serif"/>
          <w:b w:val="false"/>
          <w:i w:val="false"/>
          <w:caps w:val="false"/>
          <w:smallCaps w:val="false"/>
          <w:sz w:val="20"/>
          <w:u w:val="single"/>
        </w:rPr>
        <w:t>notwithstanding</w:t>
      </w:r>
      <w:r>
        <w:rPr>
          <w:rFonts w:ascii="Times New Roman;Times;Serif" w:hAnsi="Times New Roman;Times;Serif"/>
          <w:b w:val="false"/>
          <w:i w:val="false"/>
          <w:caps w:val="false"/>
          <w:smallCaps w:val="false"/>
          <w:sz w:val="20"/>
        </w:rPr>
        <w:t xml:space="preserve"> (1) the amount of Mandatory Swingline Borrowing may not comply with the minimum amount for borrowings of Revolving Loans otherwise required hereunder, (2) whether any conditions specified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are then satisfied, (3) whether a Default or an Event of Default then exists, (4) failure of any such request or deemed request for Revolving Loans to be made by the time otherwise required in </w:t>
      </w:r>
      <w:r>
        <w:rPr>
          <w:rFonts w:ascii="Times New Roman;Times;Serif" w:hAnsi="Times New Roman;Times;Serif"/>
          <w:b w:val="false"/>
          <w:i w:val="false"/>
          <w:caps w:val="false"/>
          <w:smallCaps w:val="false"/>
          <w:sz w:val="20"/>
          <w:u w:val="single"/>
        </w:rPr>
        <w:t>Section 2.1(b)(i)</w:t>
      </w:r>
      <w:r>
        <w:rPr>
          <w:rFonts w:ascii="Times New Roman;Times;Serif" w:hAnsi="Times New Roman;Times;Serif"/>
          <w:b w:val="false"/>
          <w:i w:val="false"/>
          <w:caps w:val="false"/>
          <w:smallCaps w:val="false"/>
          <w:sz w:val="20"/>
        </w:rPr>
        <w:t xml:space="preserve">, (5) the date of such Mandatory Swingline Borrowing, or (6) any reduction in the Revolving Commitments or termination of the Revolving Commitments prior to such Mandatory Swingline Borrowing or contemporaneously therewith. If any portion of any such amount paid (or deemed to be paid) to the Swingline Lender should be recovered by or on behalf of a Borrower from the Swingline Lender in bankruptcy, by assignment for the benefit of creditors or otherwise, the loss of the amount so recovered shall be ratably shared among all Revolving Lenders in the manner contemplated by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In the event that any Mandatory Swingline Borrowing cannot for any reason be made on the date otherwise required above (including, without limitation, as a result of the commencement of a proceeding under the Bankruptcy Code), then each Revolving Lender hereby agrees that it shall forthwith purchase (as of the date the Mandatory Swingline Borrowing would otherwise have occurred, but adjusted for any payments received from a Borrower on or after such date and prior to such purchase) from the Swingline Lender such Participation Interest in the outstanding Swingline Loans as shall be necessary to cause each such Revolving Lender to share in such Swingline Loans ratably based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its respective Revolving Commitment Percentage (determined before giving effect to any termination of the Commitments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all interest payable on the Swingline Loans shall be for the account of the Swingline Lender until the date as of which the respective Participation Interest is purchased, and (y) at the time any purchase of a Participation Interest pursuant to this sentence is actually made, the purchasing Revolving Lender shall be required to pay to the Swingline Lender interest on the principal amount of such Participation Interest purchased for each day from and including the day upon which the Mandatory Swingline Borrowing would otherwise have occurred to but excluding the date of payment for such Participation Interest, at the rate equal to, if paid within two (2) Business Days of the date of the Mandatory Swingline Borrowing, the NYFRB Rate, and thereafter at a rate equal to the Alternate Base Rate. The Borrowers shall have the right to repay the Swingline Loan in whole or in part from time to time in accordance with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Resignation and Removal of Swingline Lender</w:t>
      </w:r>
      <w:r>
        <w:rPr>
          <w:rFonts w:ascii="Times New Roman;Times;Serif" w:hAnsi="Times New Roman;Times;Serif"/>
          <w:b w:val="false"/>
          <w:i w:val="false"/>
          <w:caps w:val="false"/>
          <w:smallCaps w:val="false"/>
          <w:sz w:val="20"/>
        </w:rPr>
        <w:t>. A Swingline Lender may resign as Swingline Lender upon 30 days’ prior written notice to the Administrative Agent, the Revolving Lenders and the Lead Borrower. A Swingline Lender may be replaced at any time by written agreement among the Lead Borrower, the Administrative Agent, the replaced Swingline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will be required if the replaced Swingline Lender has no Swingline Loans outstanding) and the successor Swingline Lender. The Administrative Agent shall notify the Revolving Lenders of any such replacement of the Swingline Lender. At the time any such replacement or resignation shall become effective, the Borrowers shall, jointly and severally, prepay any outstanding Swingline Loans made by the resigning or removed Swingline Lender. From and after the effective date of any such replacement or resignation, (x) any successor Swingline Lender shall have all the rights and obligations of a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Repayment of Participations</w:t>
      </w:r>
      <w:r>
        <w:rPr>
          <w:rFonts w:ascii="Times New Roman;Times;Serif" w:hAnsi="Times New Roman;Times;Serif"/>
          <w:b w:val="false"/>
          <w:i w:val="false"/>
          <w:caps w:val="false"/>
          <w:smallCaps w:val="false"/>
          <w:sz w:val="20"/>
        </w:rPr>
        <w:t>. At any time after any Revolving Lender has purchased and funded a risk participation in a Swingline Loan, if the Swingline Lender receives any payment on account of such Swingline Loan, the Swingline Lender will distribute to such Lender its Revolving Commitment Percentage or other applicable share provided in this Agreement of such payment (appropriately adjusted, in the case of interest payments, to reflect the period of time during which such Lender’s risk participation was funded) in the same funds as those received by the Swingline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Interest on Swingline Loans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Swingline Loans shall bear interest at a per annum rate equal to the Alternate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for Revolving Loans that are ABR Loans. Interest on Swingline Loans shall be payable in arrears on each Interest Payment Date. The Swingline Lender shall be responsible for invoicing the Lead Borrower for interest on the Swingline Loans. Until each Revolving Lender funds its ABR Loan or risk participation pursuant to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to refinance such Lender’s Revolving Commitment Percentage or other applicable share provided in this Agreement of any Swingline Loan, interest in respect of such Revolving Commitment Percentage or other applicable share provided in this Agreement shall be solely for the account of the Swingline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Swingline Loan Note; Covenant to Pay</w:t>
      </w:r>
      <w:r>
        <w:rPr>
          <w:rFonts w:ascii="Times New Roman;Times;Serif" w:hAnsi="Times New Roman;Times;Serif"/>
          <w:b w:val="false"/>
          <w:i w:val="false"/>
          <w:caps w:val="false"/>
          <w:smallCaps w:val="false"/>
          <w:sz w:val="20"/>
        </w:rPr>
        <w:t>. The Swingline Loans shall be evidenced by this Agreement and, upon request of the Swingline Lender, by a duly executed promissory note of the Borrowers in favor of the Swingline Lender substantially in the form of Exhibit 2.4(d). The Borrowers, jointly and severally, covenant and agree to pay the Swingline Loans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At any point in time in which there is a Defaulting Lender, the Swingline Lender shall not be obligated to make any Swingline Loans unless the Swingline Lender has entered into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arrangements satisfactory to it and the Lead Borrower to eliminate the Swingline Lender’s risk with respect to the Defaulting Lender’s participation in such Swingline Loan, including requiring the Borrowers to Cash Collateralize the outstanding Swingline Loans pursuant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Payments Directly to Swingline Lender</w:t>
      </w:r>
      <w:r>
        <w:rPr>
          <w:rFonts w:ascii="Times New Roman;Times;Serif" w:hAnsi="Times New Roman;Times;Serif"/>
          <w:b w:val="false"/>
          <w:i w:val="false"/>
          <w:caps w:val="false"/>
          <w:smallCaps w:val="false"/>
          <w:sz w:val="20"/>
        </w:rPr>
        <w:t>. The Borrowers shall make all payments of principal and interest in respect of the Swingline Loans directly to the Swingline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2.5</w:t>
        <w:tab/>
      </w:r>
      <w:r>
        <w:rPr>
          <w:rFonts w:ascii="Times New Roman;Times;Serif" w:hAnsi="Times New Roman;Times;Serif"/>
          <w:b/>
          <w:i w:val="false"/>
          <w:caps w:val="false"/>
          <w:smallCaps w:val="false"/>
          <w:sz w:val="20"/>
        </w:rPr>
        <w:t>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Commitment Fees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(i) in consideration of the Revolving Commitments, the Borrowers, jointly and severally, agree to pay to the Administrative Agent, for the ratable benefit of the Revolving Lenders, a commitment fee (the “</w:t>
      </w:r>
      <w:r>
        <w:rPr>
          <w:rFonts w:ascii="Times New Roman;Times;Serif" w:hAnsi="Times New Roman;Times;Serif"/>
          <w:b w:val="false"/>
          <w:i w:val="false"/>
          <w:caps w:val="false"/>
          <w:smallCaps w:val="false"/>
          <w:sz w:val="20"/>
          <w:u w:val="single"/>
        </w:rPr>
        <w:t>Revolving Commitment Fee</w:t>
      </w:r>
      <w:r>
        <w:rPr>
          <w:rFonts w:ascii="Times New Roman;Times;Serif" w:hAnsi="Times New Roman;Times;Serif"/>
          <w:b w:val="false"/>
          <w:i w:val="false"/>
          <w:caps w:val="false"/>
          <w:smallCaps w:val="false"/>
          <w:sz w:val="20"/>
        </w:rPr>
        <w:t>”) at a per annum rate equal to the Applicable Margin for the Commitment Fees on the daily unused amount of the Revolving Commitments, which Revolving Commitment Fee will commence accruing on the Closing Date, and (ii) in consideration of the Initial Term Loan Commitments, the Borrowers, jointly and severally, agree to pay to the Administrative Agent, for the ratable benefit of the Initial Term Loan Lenders, a commitment fee (the “</w:t>
      </w:r>
      <w:r>
        <w:rPr>
          <w:rFonts w:ascii="Times New Roman;Times;Serif" w:hAnsi="Times New Roman;Times;Serif"/>
          <w:b w:val="false"/>
          <w:i w:val="false"/>
          <w:caps w:val="false"/>
          <w:smallCaps w:val="false"/>
          <w:sz w:val="20"/>
          <w:u w:val="single"/>
        </w:rPr>
        <w:t>Initial Term Loan Commitment Fee</w:t>
      </w:r>
      <w:r>
        <w:rPr>
          <w:rFonts w:ascii="Times New Roman;Times;Serif" w:hAnsi="Times New Roman;Times;Serif"/>
          <w:b w:val="false"/>
          <w:i w:val="false"/>
          <w:caps w:val="false"/>
          <w:smallCaps w:val="false"/>
          <w:sz w:val="20"/>
        </w:rPr>
        <w:t>”, and together with the Revolving Commitment Fee, collectively, the “</w:t>
      </w:r>
      <w:r>
        <w:rPr>
          <w:rFonts w:ascii="Times New Roman;Times;Serif" w:hAnsi="Times New Roman;Times;Serif"/>
          <w:b w:val="false"/>
          <w:i w:val="false"/>
          <w:caps w:val="false"/>
          <w:smallCaps w:val="false"/>
          <w:sz w:val="20"/>
          <w:u w:val="single"/>
        </w:rPr>
        <w:t>Commitment Fees</w:t>
      </w:r>
      <w:r>
        <w:rPr>
          <w:rFonts w:ascii="Times New Roman;Times;Serif" w:hAnsi="Times New Roman;Times;Serif"/>
          <w:b w:val="false"/>
          <w:i w:val="false"/>
          <w:caps w:val="false"/>
          <w:smallCaps w:val="false"/>
          <w:sz w:val="20"/>
        </w:rPr>
        <w:t>”) at a per annum rate equal to the Applicable Margin for the Commitment Fees on the daily unused amount of the Initial Term Loan Commitments, which Initial Term Loan Commitment Fee will commence accruing on the date that is two months after the Closing Date. The Commitment Fees shall be calculated quarterly in arrears. For purposes of computation of the Revolving Commitment Fee, LOC Obligations shall be considered usage of the Revolving Commitments but Swingline Loans shall not be considered usage of the Revolving Commitments. The Commitment Fees shall be payable quarterly in arrears on the fifteenth day following the last day of each calendar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in consideration of the Letter of Credit Commitments, the Borrowers, jointly and severally, agree to pay to the Administrative Agent, for the ratable benefit of the Revolving Lenders, a fee (the “</w:t>
      </w:r>
      <w:r>
        <w:rPr>
          <w:rFonts w:ascii="Times New Roman;Times;Serif" w:hAnsi="Times New Roman;Times;Serif"/>
          <w:b w:val="false"/>
          <w:i w:val="false"/>
          <w:caps w:val="false"/>
          <w:smallCaps w:val="false"/>
          <w:sz w:val="20"/>
          <w:u w:val="single"/>
        </w:rPr>
        <w:t>Letter of Credit Fee</w:t>
      </w:r>
      <w:r>
        <w:rPr>
          <w:rFonts w:ascii="Times New Roman;Times;Serif" w:hAnsi="Times New Roman;Times;Serif"/>
          <w:b w:val="false"/>
          <w:i w:val="false"/>
          <w:caps w:val="false"/>
          <w:smallCaps w:val="false"/>
          <w:sz w:val="20"/>
        </w:rPr>
        <w:t>”) at a per annum rate equal to the Applicable Margin for Revolving Loans that are Term Benchmark Loans on the daily maximum amount available to be drawn under each Letter of Credit from the date of issuance to the date of expiration thereof. The Letter of Credit Fee shall be payable quarterly in arrears on the fifteenth day following the last day of each calendar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Issuing Lender Fees</w:t>
      </w:r>
      <w:r>
        <w:rPr>
          <w:rFonts w:ascii="Times New Roman;Times;Serif" w:hAnsi="Times New Roman;Times;Serif"/>
          <w:b w:val="false"/>
          <w:i w:val="false"/>
          <w:caps w:val="false"/>
          <w:smallCaps w:val="false"/>
          <w:sz w:val="20"/>
        </w:rPr>
        <w:t>. In addition to the Letter of Credit Fees payable pursuant to subsection (b) hereof, the Borrowers, jointly and severally, shall pay to each Issuing Lender for its own account without sharing by the other Lenders the reasonable and customary charges from time to time of such Issuing Lender with respect to the amendment, transfer, administration, cancellation and conversion of, and drawings under, Letters of Credit issued by such Issuing Lender (collectively, the “</w:t>
      </w:r>
      <w:r>
        <w:rPr>
          <w:rFonts w:ascii="Times New Roman;Times;Serif" w:hAnsi="Times New Roman;Times;Serif"/>
          <w:b w:val="false"/>
          <w:i w:val="false"/>
          <w:caps w:val="false"/>
          <w:smallCaps w:val="false"/>
          <w:sz w:val="20"/>
          <w:u w:val="single"/>
        </w:rPr>
        <w:t>Issuing Lender Fees</w:t>
      </w:r>
      <w:r>
        <w:rPr>
          <w:rFonts w:ascii="Times New Roman;Times;Serif" w:hAnsi="Times New Roman;Times;Serif"/>
          <w:b w:val="false"/>
          <w:i w:val="false"/>
          <w:caps w:val="false"/>
          <w:smallCaps w:val="false"/>
          <w:sz w:val="20"/>
        </w:rPr>
        <w:t>”). Each Issuing Lender may charge, and retain for its own account without sharing by the other Lenders, an additional facing fee (the “</w:t>
      </w:r>
      <w:r>
        <w:rPr>
          <w:rFonts w:ascii="Times New Roman;Times;Serif" w:hAnsi="Times New Roman;Times;Serif"/>
          <w:b w:val="false"/>
          <w:i w:val="false"/>
          <w:caps w:val="false"/>
          <w:smallCaps w:val="false"/>
          <w:sz w:val="20"/>
          <w:u w:val="single"/>
        </w:rPr>
        <w:t>Letter of Credit Facing Fee</w:t>
      </w:r>
      <w:r>
        <w:rPr>
          <w:rFonts w:ascii="Times New Roman;Times;Serif" w:hAnsi="Times New Roman;Times;Serif"/>
          <w:b w:val="false"/>
          <w:i w:val="false"/>
          <w:caps w:val="false"/>
          <w:smallCaps w:val="false"/>
          <w:sz w:val="20"/>
        </w:rPr>
        <w:t>”) of 0.125% per annum on the daily maximum amount available to be drawn under each such Letter of Credit issued by it. The Issuing Lender Fees and the Letter of Credit Facing Fee shall be payable quarterly in arrears on the fifteenth day following the last day of each calendar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Administrative Fee</w:t>
      </w:r>
      <w:r>
        <w:rPr>
          <w:rFonts w:ascii="Times New Roman;Times;Serif" w:hAnsi="Times New Roman;Times;Serif"/>
          <w:b w:val="false"/>
          <w:i w:val="false"/>
          <w:caps w:val="false"/>
          <w:smallCaps w:val="false"/>
          <w:sz w:val="20"/>
        </w:rPr>
        <w:t>. The Lead Borrower agrees to pay to the Administrative Agent the annual administrative fee as described in the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2.6</w:t>
        <w:tab/>
      </w:r>
      <w:r>
        <w:rPr>
          <w:rFonts w:ascii="Times New Roman;Times;Serif" w:hAnsi="Times New Roman;Times;Serif"/>
          <w:b/>
          <w:i w:val="false"/>
          <w:caps w:val="false"/>
          <w:smallCaps w:val="false"/>
          <w:sz w:val="20"/>
        </w:rPr>
        <w:t>Commitment Reductions.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Voluntary Reductions</w:t>
      </w:r>
      <w:r>
        <w:rPr>
          <w:rFonts w:ascii="Times New Roman;Times;Serif" w:hAnsi="Times New Roman;Times;Serif"/>
          <w:b w:val="false"/>
          <w:i w:val="false"/>
          <w:caps w:val="false"/>
          <w:smallCaps w:val="false"/>
          <w:sz w:val="20"/>
        </w:rPr>
        <w:t>. The Borrowers shall have the right to terminate or permanently reduce the unused portion of the Revolving Commitments or Initial Term Loan Commitments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from time to time upon not less than five (5) Business Days’ prior written notice by the Lead Borrower to the Administrative Agent (which shall notify the applicable Lenders thereof) of each such termination or reduction, which notice shall specify the effective date thereof and the amount of any such reduction which shall be in a minimum amount of $1,000,000 or a whole multiple of $100,000 in excess thereof and shall be irrevocable and effective upon receipt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 notice of termination or reduction of the Revolving Commitments or Initial Term Loan Commitments delivered by the Lead Borrower may state that such notice is conditioned upon the effectiveness of other credit facilities or the occurrence of some other identifiable event or condition, in which case such notice may be revoked by the Lead Borrower (by notice to the Administrative Agent on or prior to the specified effective date of termination or reduction) if such condition is not satisfied and (ii) no such reduction or termination of the Revolving Commitments shall be permitted if after giving effect thereto, the Revolving Credit Exposure of any Lender would exceed such Lender’s Revolving Commitment. Any reduction in the Commitments of any Class shall be applied to the Commitment of each Lender of such Class in accordance to its Applicable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Letter of Credit Commitments</w:t>
      </w:r>
      <w:r>
        <w:rPr>
          <w:rFonts w:ascii="Times New Roman;Times;Serif" w:hAnsi="Times New Roman;Times;Serif"/>
          <w:b w:val="false"/>
          <w:i w:val="false"/>
          <w:caps w:val="false"/>
          <w:smallCaps w:val="false"/>
          <w:sz w:val="20"/>
        </w:rPr>
        <w:t>. If the Revolving Commitments are reduced below the then current Letter of Credit Commitments, the Letter of Credit Commitments shall automatically be reduced by an aggregate amount such that the aggregate Letter of Credit Commitments equal the aggregate Revolving Commitments (with such reduction applied on a pro rata basis to the respective Letter of Credit Commitments of each Issuing Lender based on the respective amounts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Swingline Committed Amount</w:t>
      </w:r>
      <w:r>
        <w:rPr>
          <w:rFonts w:ascii="Times New Roman;Times;Serif" w:hAnsi="Times New Roman;Times;Serif"/>
          <w:b w:val="false"/>
          <w:i w:val="false"/>
          <w:caps w:val="false"/>
          <w:smallCaps w:val="false"/>
          <w:sz w:val="20"/>
        </w:rPr>
        <w:t>. If the Revolving Commitments are reduced below the then current Swingline Committed Amount, the Swingline Committed Amount shall automatically be reduced by an amount such that the Swingline Committed Amount equals the Revolving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The Revolving Commitments, the Swingline Commitment and the Letter of Credit Commitment shall automatically terminate on the Revolving Maturity Date. The Initial Term Loan Commitments shall automatically terminate upon the funding in full of the Initial Term Loans thereunder. To the extent still outstanding on the Acquisition Outside Date, the Initial Term Loan Commitments shall terminate on the Acquisition Outside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2.7</w:t>
        <w:tab/>
      </w:r>
      <w:r>
        <w:rPr>
          <w:rFonts w:ascii="Times New Roman;Times;Serif" w:hAnsi="Times New Roman;Times;Serif"/>
          <w:b/>
          <w:i w:val="false"/>
          <w:caps w:val="false"/>
          <w:smallCaps w:val="false"/>
          <w:sz w:val="20"/>
        </w:rPr>
        <w:t>Prepayments.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Optional Prepayments and Repayments</w:t>
      </w:r>
      <w:r>
        <w:rPr>
          <w:rFonts w:ascii="Times New Roman;Times;Serif" w:hAnsi="Times New Roman;Times;Serif"/>
          <w:b w:val="false"/>
          <w:i w:val="false"/>
          <w:caps w:val="false"/>
          <w:smallCaps w:val="false"/>
          <w:sz w:val="20"/>
        </w:rPr>
        <w:t xml:space="preserve">. The Borrowers shall have the right to prepay the Term Loans of any Class and repay the Revolving Loans and Swingline Loans in whole or in part from time to time without premium or penalty except as provided below. Each partial prepayment or repayment of (i) Revolving Loans or Term Loans that are ABR Loans or RFR Loans shall be in a minimum principal amount of $500,000 and integral multiples of $100,000 in excess thereof (or the remaining outstanding principal amount), (ii) Revolving Loans or Term Loans that are Term Benchmark Loans shall be in a minimum principal amount of $500,000 and integral multiples of $100,000 in excess thereof (or the remaining outstanding principal amount) and (iii) Swingline Loans shall be in a minimum principal amount of $500,000 and integral multiples of $100,000 in excess thereof (or the remaining outstanding principal amount). The Lead Borrower shall give three (3) Business Days’ irrevocable notice of prepayment in the case of Term Benchmark Loans, five (5) Business Days’ irrevocable notice of prepayment in the case of RFR Loans and same-day irrevocable notice on any Business Day in the case of ABR Loans, to the Administrative Agent (which shall notify the applicable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notice of an optional prepayment may state that such notice is conditioned upon the effectiveness of other credit facilities or the receipt of the proceeds from the issuance of other Indebtedness or the occurrence of some other identifiable event or condition, in which case, such notice may be revoked by the Lead Borrower (by notice to the Administrative Agent on or prior to the specified prepayment date) if such condition is not satisfied. To the extent that the Borrowers elect to prepay the Term Loans of any Class, amounts prepaid under this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shall be applied to scheduled instalments at the direction of the Lead Borrower and, absent such direction, in direct order of maturity first to ABR Loans and then to Term Benchmark Loans, in each case, ratably to the then remaining amortization payments thereof. To the extent the Borrowers elect to repay the Revolving Loans and/or Swingline Loans, amounts prepaid under this Section shall be applied to the Revolving Loans and/or Swingline Loans, as applicable, then held by the Revolving Lenders in accordance with their respective Revolving Commitment Percentages (or, if any Swingline Loan is held by the Swingline Lender, any payment thereof shall be solely to the Swingline Lender). Within the foregoing parameters, prepayments of any Class of Loans under this Section shall be applied first to ABR Loans and then to Term Benchmark Loans at the direction of the Lead Borrower (and absent direction to the contrary from the Lead Borrower, in direct order of Interest Period maturities). All prepayments under this Section shall be subject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but otherwise without premium or penalty. Interest on the principal amount prepaid shall be payable on the date of such prepayment (except for a prepayment of ABR Loans prior to the end of the Commitment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Revolving Commitments</w:t>
      </w:r>
      <w:r>
        <w:rPr>
          <w:rFonts w:ascii="Times New Roman;Times;Serif" w:hAnsi="Times New Roman;Times;Serif"/>
          <w:b w:val="false"/>
          <w:i w:val="false"/>
          <w:caps w:val="false"/>
          <w:smallCaps w:val="false"/>
          <w:sz w:val="20"/>
        </w:rPr>
        <w:t>. If at any time after the Closing Date, the Revolving Credit Exposure of any Lender exceeds the Revolving Commitment of such Lender, the Borrowers shall, jointly and severally, immediately prepay the Revolving Loans and Swingline Loans and (after all Revolving Loans and Swingline Loans have been repaid) Cash Collateralize the LOC Obligations in an amount sufficient to eliminate such excess (such prepayment to be applied as set forth in clause (vii)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Asset Dispositions</w:t>
      </w:r>
      <w:r>
        <w:rPr>
          <w:rFonts w:ascii="Times New Roman;Times;Serif" w:hAnsi="Times New Roman;Times;Serif"/>
          <w:b w:val="false"/>
          <w:i w:val="false"/>
          <w:caps w:val="false"/>
          <w:smallCaps w:val="false"/>
          <w:sz w:val="20"/>
        </w:rPr>
        <w:t xml:space="preserve">. Following any Asset Disposition (or related series of Asset Dispositions) or receipt by the Lead Borrower or any Restricted Subsidiary of Extraordinary Receipts, the Borrowers shall, jointly and severally, prepay the Term Loans in an aggregate amount equal to one hundred percent (100%) of the Net Cash Proceeds derived from such Asset Disposition (or related series of Asset Dispositions) or such Extraordinary Receipts (such prepayment to be applied as set forth in clause (vii) below) within five (5) Business Days of the receipt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so long as no Event of Default has occurred and is continuing, such Net Cash Proceeds shall not be required to be so applied to the extent the Lead Borrower delivers to the Administrative Agent a certificate stating that it intends to use such Net Cash Proceeds to restore, rebuild, repair, construct, improve, replace, refurbish, remodel, refresh, renovate or otherwise acquire assets (other than inventory) (and pay transaction expenses associated therewith) useful to the business of the Lead Borrower and its Restricted Subsidiaries, including pursuant to a Permitted Acquisition or a third party investment, and such reinvestment is consummated within 365 days of the receipt of such Net Cash Proceeds or the subject of a binding written agreement with a third party entered into such 365-day period which is consummated with 180 days after the end of such 365-day period, it being expressly agreed that Net Cash Proceeds not so reinvested shall be applied to prepay the Term Loans immediately thereafter (such prepayment to be applied as set forth in clause (vii) below);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 prepayment of the Term Loans shall only be required under this </w:t>
      </w:r>
      <w:r>
        <w:rPr>
          <w:rFonts w:ascii="Times New Roman;Times;Serif" w:hAnsi="Times New Roman;Times;Serif"/>
          <w:b w:val="false"/>
          <w:i w:val="false"/>
          <w:caps w:val="false"/>
          <w:smallCaps w:val="false"/>
          <w:sz w:val="20"/>
          <w:u w:val="single"/>
        </w:rPr>
        <w:t>Section 2.7(b)(ii)</w:t>
      </w:r>
      <w:r>
        <w:rPr>
          <w:rFonts w:ascii="Times New Roman;Times;Serif" w:hAnsi="Times New Roman;Times;Serif"/>
          <w:b w:val="false"/>
          <w:i w:val="false"/>
          <w:caps w:val="false"/>
          <w:smallCaps w:val="false"/>
          <w:sz w:val="20"/>
        </w:rPr>
        <w:t xml:space="preserve"> if the amount of such prepayment for any fiscal year exceeds the greater of $18.0 million and 10% of Consolidated EBITDA for the most recently completed Test Period prior to the date of receipt of such Net Cash Proceeds (and, in such case, only the amount by which such prepayment amount for such fiscal year exceeds such threshold shall be required to be prepaid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Debt Issuances</w:t>
      </w:r>
      <w:r>
        <w:rPr>
          <w:rFonts w:ascii="Times New Roman;Times;Serif" w:hAnsi="Times New Roman;Times;Serif"/>
          <w:b w:val="false"/>
          <w:i w:val="false"/>
          <w:caps w:val="false"/>
          <w:smallCaps w:val="false"/>
          <w:sz w:val="20"/>
        </w:rPr>
        <w:t>. Immediately upon receipt by the Lead Borrower or any of its Restricted Subsidiaries of proceeds from any Debt Issuance, the Borrowers shall, jointly and severally, prepay the Term Loans in an aggregate amount equal to one hundred percent (100%)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Cash Proceeds of such Debt Issuance (such prepayment to be applied as set forth in clause (vii)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Application of Mandatory Prepayments</w:t>
      </w:r>
      <w:r>
        <w:rPr>
          <w:rFonts w:ascii="Times New Roman;Times;Serif" w:hAnsi="Times New Roman;Times;Serif"/>
          <w:b w:val="false"/>
          <w:i w:val="false"/>
          <w:caps w:val="false"/>
          <w:smallCaps w:val="false"/>
          <w:sz w:val="20"/>
        </w:rPr>
        <w:t>. All amounts required to be paid pursuant to this Section shall be applied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respect to all amounts prepaid pursuant to </w:t>
      </w:r>
      <w:r>
        <w:rPr>
          <w:rFonts w:ascii="Times New Roman;Times;Serif" w:hAnsi="Times New Roman;Times;Serif"/>
          <w:b w:val="false"/>
          <w:i w:val="false"/>
          <w:caps w:val="false"/>
          <w:smallCaps w:val="false"/>
          <w:sz w:val="20"/>
          <w:u w:val="single"/>
        </w:rPr>
        <w:t>Section 2.7(b)(i)</w:t>
      </w:r>
      <w:r>
        <w:rPr>
          <w:rFonts w:ascii="Times New Roman;Times;Serif" w:hAnsi="Times New Roman;Times;Serif"/>
          <w:b w:val="false"/>
          <w:i w:val="false"/>
          <w:caps w:val="false"/>
          <w:smallCaps w:val="false"/>
          <w:sz w:val="20"/>
        </w:rPr>
        <w:t xml:space="preserve">, (1)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outstanding Swingline Loans, (2)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the outstanding Revolving Loans and (3)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Cash Collateralize the LOC Obligations;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all amounts prepaid pursuant to </w:t>
      </w:r>
      <w:r>
        <w:rPr>
          <w:rFonts w:ascii="Times New Roman;Times;Serif" w:hAnsi="Times New Roman;Times;Serif"/>
          <w:b w:val="false"/>
          <w:i w:val="false"/>
          <w:caps w:val="false"/>
          <w:smallCaps w:val="false"/>
          <w:sz w:val="20"/>
          <w:u w:val="single"/>
        </w:rPr>
        <w:t>Sections 2.7(b)(ii)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(b)(iii)</w:t>
      </w:r>
      <w:r>
        <w:rPr>
          <w:rFonts w:ascii="Times New Roman;Times;Serif" w:hAnsi="Times New Roman;Times;Serif"/>
          <w:b w:val="false"/>
          <w:i w:val="false"/>
          <w:caps w:val="false"/>
          <w:smallCaps w:val="false"/>
          <w:sz w:val="20"/>
        </w:rPr>
        <w:t xml:space="preserve">, to the Term Loans of each Class on a pro rata basis based on the respective principal amounts thereof (in each case, as to any Class of Term Loans, to the remaining amortization payments thereof in direct order of maturity). Within the parameters of the applications set forth above, prepayments of any Class of Term Loans shall be applied first to ABR Loans and then to Term Benchmark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at the time that any such prepayment would be required hereunder, the Lead Borrower or any Restricted Subsidiary is required to offer to repurchase or prepay any other Indebtedness that is secured on a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basis with the Obligations pursuant to the terms of the documentation governing such Indebtedness with Net Cash Proceeds of such prepayment event (such Indebtedness (or Credit Agreement Refinancing Indebtedness in respect thereof) required to be offered to be repurchased or prepaid, the “</w:t>
      </w:r>
      <w:r>
        <w:rPr>
          <w:rFonts w:ascii="Times New Roman;Times;Serif" w:hAnsi="Times New Roman;Times;Serif"/>
          <w:b w:val="false"/>
          <w:i w:val="false"/>
          <w:caps w:val="false"/>
          <w:smallCaps w:val="false"/>
          <w:sz w:val="20"/>
          <w:u w:val="single"/>
        </w:rPr>
        <w:t>Other Applicable Indebtedness</w:t>
      </w:r>
      <w:r>
        <w:rPr>
          <w:rFonts w:ascii="Times New Roman;Times;Serif" w:hAnsi="Times New Roman;Times;Serif"/>
          <w:b w:val="false"/>
          <w:i w:val="false"/>
          <w:caps w:val="false"/>
          <w:smallCaps w:val="false"/>
          <w:sz w:val="20"/>
        </w:rPr>
        <w:t xml:space="preserve">”), then the Borrowers may apply such Net Cash Proceeds on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basis to the prepayment of the Term Loans and to the repurchase or prepayment of the Other Applicable Indebtedness (determined on the basis of the aggregate outstanding principal amount of the Term Loans and Other Applicable Indebtedness (or accreted amount if such Other Applicable Indebtedness is issued with original issue discount)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portion of such Net Cash Proceeds allocated to the Other Applicable Indebtedness shall not exceed the amount of such Net Cash Proceeds required to be allocated to the Other Applicable Indebtedness pursuant to the terms thereof, and the remaining amount, if any, of such Net Cash Proceeds shall be allocated to the Term Loans in accordance with the terms hereof), and the amount of the prepayment of the Term Loans that would have otherwise been required pursuant to this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xml:space="preserve"> shall be reduced on a dollar-for-dollar basis accordingly;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to the extent the holders of the Other Applicable Indebtedness decline to have such Indebtedness prepaid or repurchased, the declined amount shall promptly (and in any event within ten (10) Business Days after the date of such rejection) be applied to prepay the Term Loans in accordance with the terms hereof. All prepayments under this Section shall be subject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and be accompanied by interest on the principal amount prepaid through the date of prepayment, but otherwise without premium or penalty.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Notice of Mandatory Prepayment</w:t>
      </w:r>
      <w:r>
        <w:rPr>
          <w:rFonts w:ascii="Times New Roman;Times;Serif" w:hAnsi="Times New Roman;Times;Serif"/>
          <w:b w:val="false"/>
          <w:i w:val="false"/>
          <w:caps w:val="false"/>
          <w:smallCaps w:val="false"/>
          <w:sz w:val="20"/>
        </w:rPr>
        <w:t xml:space="preserve">. The Lead Borrower shall notify the Administrative Agent of any prepayment under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xml:space="preserve"> at least three Business Days prior to the date of such prepayment (or such shorter period (i) as may be required to comply with the prepayment conditions set forth in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xml:space="preserve"> or (ii) as shall be reasonably acceptable to the Administrative Agent). Each notice delivered by the Lead Borrower pursuant to this </w:t>
      </w:r>
      <w:r>
        <w:rPr>
          <w:rFonts w:ascii="Times New Roman;Times;Serif" w:hAnsi="Times New Roman;Times;Serif"/>
          <w:b w:val="false"/>
          <w:i w:val="false"/>
          <w:caps w:val="false"/>
          <w:smallCaps w:val="false"/>
          <w:sz w:val="20"/>
          <w:u w:val="single"/>
        </w:rPr>
        <w:t>Section 2.7(e)</w:t>
      </w:r>
      <w:r>
        <w:rPr>
          <w:rFonts w:ascii="Times New Roman;Times;Serif" w:hAnsi="Times New Roman;Times;Serif"/>
          <w:b w:val="false"/>
          <w:i w:val="false"/>
          <w:caps w:val="false"/>
          <w:smallCaps w:val="false"/>
          <w:sz w:val="20"/>
        </w:rPr>
        <w:t xml:space="preserve"> shall be irrevocable and shall specify the prepayment date and the principal amount of each Loan or portion thereof to be prepaid, and include a reasonably detailed calculation of the amount of such prepayment. Promptly following receipt of any such notice, the Administrative Agent shall advise the Lenders of the contents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Bank Product Obligations Unaffected</w:t>
      </w:r>
      <w:r>
        <w:rPr>
          <w:rFonts w:ascii="Times New Roman;Times;Serif" w:hAnsi="Times New Roman;Times;Serif"/>
          <w:b w:val="false"/>
          <w:i w:val="false"/>
          <w:caps w:val="false"/>
          <w:smallCaps w:val="false"/>
          <w:sz w:val="20"/>
        </w:rPr>
        <w:t>. Any repayment or prepayment made pursuant to this Section shall not affect any Borrower’s or Restricted Subsidiary’s obligation to continue to make payments under any Bank Product, which shall remain in full force and effect notwithstanding such repayment or prepayment, subject to the terms of such Bank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2.8</w:t>
        <w:tab/>
      </w:r>
      <w:r>
        <w:rPr>
          <w:rFonts w:ascii="Times New Roman;Times;Serif" w:hAnsi="Times New Roman;Times;Serif"/>
          <w:b/>
          <w:i w:val="false"/>
          <w:caps w:val="false"/>
          <w:smallCaps w:val="false"/>
          <w:sz w:val="20"/>
        </w:rPr>
        <w:t>Default Rate and Payment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occurrence and during the continuance of a (i) Bankruptcy Event or a Payment Event of Default, the principal of and, to the extent permitted by law, interest on the Loans and any other amounts owing hereunder or under the other Credit Documents shall automatically bear interest at a rate per annum which is equal to the Default Rate and (ii) any other Event of Default hereunder, at the option of the Required Lenders, the principal of and, to the extent permitted by law, interest on the Loans and any other amounts owing hereunder or under the other Credit Documents shall automatically bear interest, at a per annum rate which is equal to the Default Rate, in each case from the date of such Event of Default until such Event of Default is waived in accordance with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Any default interest owing under this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shall be due and payable on the earlier to occur of (x) demand by the Administrative Agent (which demand the Administrative Agent shall make if directed by the Required Lenders) and (y) the applicable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all or a portion of the principal amount of any Loan which is a Term Benchmark Loan shall not be paid when due or continued as a Term Benchmark Loan in accordance with the provisions of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(whether at the stated maturity, by acceleration or otherwise), such Loan shall be converted to an ABR Loan at the end of the Interest Period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2.9</w:t>
        <w:tab/>
      </w:r>
      <w:r>
        <w:rPr>
          <w:rFonts w:ascii="Times New Roman;Times;Serif" w:hAnsi="Times New Roman;Times;Serif"/>
          <w:b/>
          <w:i w:val="false"/>
          <w:caps w:val="false"/>
          <w:smallCaps w:val="false"/>
          <w:sz w:val="20"/>
        </w:rPr>
        <w:t>Conversion and Continuation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Lead Borrower may, in the case of Revolving Loans and the Term Loans of any Class, elect from time to time to convert ABR Loans to Term Benchmark Loans or to continue Term Benchmark Loans, by delivering a Notice of Conversion/Extension to the Administrative Agent at least three Business Days prior to the proposed date of conversion or continuation. In addition, the Lead Borrower may elect from time to time to convert all or any portion of a Term Benchmark Loan to an ABR Loan by giving the Administrative Agent irrevocable written notice thereof by 11:00 A.M. one (1) Business Day prior to the proposed date of conversion. If the date upon which an ABR Loan is to be converted to a Term Benchmark Loan is not a Business Day, then such conversion shall be made on the next succeeding Business Day and during the period from such last day of an Interest Period to such succeeding Business Day such Loan shall bear interest as if it were an ABR Loan. Term Benchmark Loans may only be converted to ABR Loans on the last day of the applicable Interest Period. If the date upon which a Term Benchmark Loan is to be converted to an ABR Loan is not a Business Day, then such conversion shall be made on the next succeeding Business Day and during the period from such last day of an Interest Period to such succeeding Business Day such Loan shall bear interest as if it were an ABR Loan. All or any part of outstanding ABR Loans may be converted as provided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Loan may be converted into a Term Benchmark Loan when any Event of Default has occurred and is continuing and (ii) partial conversions shall be in 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aggregate principal amount of $500,000 or a whole multiple of $100,000 in excess thereof. All or any part of outstanding Term Benchmark Loans may be converted as provided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partial conversions shall be in an aggregate principal amount of $500,000 or a whole multiple of $100,000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Term Benchmark Loans may be continued as such upon the expiration of an Interest Period with respect thereto by compliance by the Lead Borrower with the notice provisions contained in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Term Benchmark Loan may be continued as such when any Event of Default has occurred and is continuing, in which case such Loan shall be automatically converted to an ABR Loan at the end of the applicable Interest Period with respect thereto. If (i) the Lead Borrower shall fail to give timely notice of an election to continue a Term Benchmark Loan, such Term Benchmark Loan shall automatically continue as a Term Benchmark Loan with a one month Interest Period or (ii) the continuation of Term Benchmark Loans is not permitted hereunder, such Term Benchmark Loans shall be automatically converted to ABR Loans at the end of the applicable Interest Period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2.10</w:t>
        <w:tab/>
      </w:r>
      <w:r>
        <w:rPr>
          <w:rFonts w:ascii="Times New Roman;Times;Serif" w:hAnsi="Times New Roman;Times;Serif"/>
          <w:b/>
          <w:i w:val="false"/>
          <w:caps w:val="false"/>
          <w:smallCaps w:val="false"/>
          <w:sz w:val="20"/>
        </w:rPr>
        <w:t>Computation of Interest and Fees; Usury.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Interest payable hereunder with respect to any ABR Loan based on the Prime Rate shall be calculated on the basis of a year of 365 days (or 366 days, as applicable) for the actual days elapsed. All other fees, interest and all other amounts payable hereunder shall be calculated on the basis of a 360-day year for the actual days elapsed. The Administrative Agent shall promptly notify the Lead Borrower and the applicable Lenders of each determination of the Term SOFR Rate on the Business Day of the determination thereof. Any change in the interest rate on a Loan resulting from a change in the Alternate Base Rate shall become effective as of the opening of business on the day on which such change in the Alternate Base Rate shall become effective. The Administrative Agent shall as soon as practicable notify the Lead Borrower and the applicable Lenders of the effective date and the amount of each such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determination of an interest rate by the Administrative Agent pursuant to any provision of this Agreement shall be conclusive and binding on the Borrowers and the Lenders in the absence of manifest error. The Administrative Agent shall, at the request of the Lead Borrower, deliver to the Lead Borrower a statement showing the computations used by the Administrative Agent in determining any interest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no way, nor in any event or contingency (including, but not limited to, prepayment or acceleration of the maturity of any Obligation), shall the interest taken, reserved, contracted for, charged, or received under this Agreement exceed the maximum nonusurious amount permissible under applicable law. If, from any possible construction of any of the Credit Documents, interest would otherwise be payable in excess of the maximum nonusurious amount, any such construction shall be subject to the provisions of this paragraph and such interest shall be automatically reduced to the maximum nonusurious amount permitted under applicable law, without the necessity of execution of any amendment or new document. All interest paid or agreed to be paid to the Lenders with respect to the Loans shall, to the extent permitted by applicable law, be amortized, prorated, allocated, and spread throughout the full stated term (including any renewal or extension) of the Loans so that the amount of interest on account of such Indebtedness does not exceed the maximum nonusurious amount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2.11</w:t>
        <w:tab/>
      </w:r>
      <w:r>
        <w:rPr>
          <w:rFonts w:ascii="Times New Roman;Times;Serif" w:hAnsi="Times New Roman;Times;Serif"/>
          <w:b/>
          <w:i w:val="false"/>
          <w:caps w:val="false"/>
          <w:smallCaps w:val="false"/>
          <w:sz w:val="20"/>
        </w:rPr>
        <w:t>Payments Generally; Pro Rata Treatment and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Borrowers shall make each payment or prepayment required to be made by them hereunder (whether of principal, interest, fees or reimbursement of LOC Obligations, or of amounts payable under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or otherwise) in Dollars prior to 1:00 P.M., on the date when due or the date fixed for any prepayment hereunder, in immediately available funds, without setoff, recoupment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383 Madison Avenue, New York, New York, except payments to be made directly to Issuing Lenders or Swingline Lenders as expressly provided herein and except that payments pursuant to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9.5</w:t>
      </w:r>
      <w:r>
        <w:rPr>
          <w:rFonts w:ascii="Times New Roman;Times;Serif" w:hAnsi="Times New Roman;Times;Serif"/>
          <w:b w:val="false"/>
          <w:i w:val="false"/>
          <w:caps w:val="false"/>
          <w:smallCaps w:val="false"/>
          <w:sz w:val="20"/>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at any time that payments are not required to be applied in the manner required by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insufficient funds are received by and available to the Administrative Agent to pay fully all amounts of principal, unreimbursed Letter of Credit drawings,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Letter of Credit drawings then due hereunder, ratably among the parties entitled thereto in accordance with the amounts of principal and unreimbursed Letter of Credit drawings then due to such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Allocation of Payments After Exercise of Remedies</w:t>
      </w:r>
      <w:r>
        <w:rPr>
          <w:rFonts w:ascii="Times New Roman;Times;Serif" w:hAnsi="Times New Roman;Times;Serif"/>
          <w:b w:val="false"/>
          <w:i w:val="false"/>
          <w:caps w:val="false"/>
          <w:smallCaps w:val="false"/>
          <w:sz w:val="20"/>
        </w:rPr>
        <w:t xml:space="preserve">. Notwithstanding any other provisions of this Agreement to the contrary, after the exercise of remedies (other than the application of default interest pursuant to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by the Administrative Agent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(or after the Commitments shall automatically terminate and the Loans (with accrued interest thereon) and all other amounts under the Credit Documents (including, without limitation, the maximum amount of all contingent liabilities under Letters of Credit) shall automatically become due and payable in accordance with the terms of such Section), all amounts collected or received by the Administrative Agent on account of the Credit Party Obligations shall be paid over or delivered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reasonable and documented out-of-pocket costs and expenses (including, without limitation, reasonable and documented out-of-pocket attorneys’ fees) of the Administrative Agent in connection with enforcing the rights of the Lenders under the Credit Documents;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any fees owed to the Administrative Agent and the Issuing Lenders;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THIRD, to the payment of all reasonable and documented out-of-pocket costs and expenses (including, without limitation, reasonable and documented out-of-pocket attorneys’ fees) of each of the Lenders in connection with enforcing its rights under the Credit Documents or otherwise with respect to the Credit Party Obligations owing to such Lender to the extent provided in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all of the Credit Party Obligations consisting of accrued fees and interest, and including, with respect to any Bank Product, any fees, premiums and scheduled periodic payments due under such Bank Product and any interest accrued thereon;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to the payment of the outstanding principal amount of the Credit Party Obligations and the payment or cash collateralization of the outstanding LOC Obligations,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including with respect to any Bank Product, any breakage, termination or other payments due under such Bank Product and any interest accrued thereon;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SIXTH, to all other Credit Party Obligations and other obligations which shall have become due and payable under the Credit Documents or otherwise and not repaid pursuant to clauses “FIRST” through “FIFTH” above;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SEVENTH, to the payment of the surplus, if any, to the Borrowers or whoever may be lawfully entitled to receive such surplus.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carrying out the foregoing, (a) amounts received shall be applied in the numerical order provided until exhausted prior to application to the next succeeding category; (b) each of the Lenders and any Bank Product Provider shall receive an amount equal to its pro rata share (based on the proportion that the then outstanding Loans and LOC Obligations held by such Lender or the outstanding obligations payable to such Bank Product Provider bears to the aggregate then outstanding Loans and LOC Obligations and obligations payable under all Bank Products) of amounts available to be applied pursuant to clauses “THIRD”, “FOURTH”, “FIFTH” and “SIXTH” above; and (c) to the extent that any amounts available for distribution pursuant to clause “FIFTH” above are attributable to the issued but undrawn amount of outstanding Letters of Credit, such amounts shall be held by the Administrative Agent in a cash collateral account and applied (i) first, to reimburse the Issuing Lender from time to time for any drawings under such Letters of Credit and (ii) then, following the expiration of all Letters of Credit, to all other obligations of the types described in clauses “FIFTH” and “SIXTH” above in the manner provided in this Section. Notwithstanding the foregoing terms of this Section, only Collateral proceeds and payments under the Guaranty (as opposed to ordinary course principal, interest and fee payments hereunder) shall be applied to obligations under any Bank Product. Amounts distributed with respect to any Bank Product Debt may, at the option of the Administrative Agent, be the amount of such Bank Product last reported to the Administrative Agent by the applicable Bank Product Provider.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2.12</w:t>
        <w:tab/>
      </w:r>
      <w:r>
        <w:rPr>
          <w:rFonts w:ascii="Times New Roman;Times;Serif" w:hAnsi="Times New Roman;Times;Serif"/>
          <w:b/>
          <w:i w:val="false"/>
          <w:caps w:val="false"/>
          <w:smallCaps w:val="false"/>
          <w:sz w:val="20"/>
        </w:rPr>
        <w:t>Non-Receipt of Funds; Administrative Agent’s Clawback.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Funding by Lenders; Presumption by Administrative Agent</w:t>
      </w:r>
      <w:r>
        <w:rPr>
          <w:rFonts w:ascii="Times New Roman;Times;Serif" w:hAnsi="Times New Roman;Times;Serif"/>
          <w:b w:val="false"/>
          <w:i w:val="false"/>
          <w:caps w:val="false"/>
          <w:smallCaps w:val="false"/>
          <w:sz w:val="20"/>
        </w:rPr>
        <w:t>. Unless the Administrative Agent shall have received written notice from a Lender prior to the proposed date of any Extension of Credit that such Lender will not make available to the Administrative Agent such Lender’s share of such Extension of Credit, the Administrative Agent may assume that such Lender has made such share available on such date in accordance with this Agreement and may, in reliance upon such assumption, make available to the Borrowers a corresponding amount. In such event, if a Lender has not in fact made its share of the applicable Extension of Credit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Borrowers to but excluding the date of payment to the Administrative Agent, at (i) in the case of a payment to be made by such Lender, the greater of the NYFRB Rate and a rate determined by the Administrative Agent in accordance with banking industry rules on interbank compensation and (ii) in the case of a payment to be made by a Borrower, the interest rate applicable to ABR Loans. If the Borrowers and such Lender shall pay such interest to the Administrative Agent for the same or an overlapping period, the Administrative Agent shall promptly remit to the Borrowers the amount of such interest paid by the Borrowers for such period. If such Lender pays its share of the applicable Extension of Credit to the Administrative Agent, then the amount so paid shall constitute such Lender’s Loan included in such Extension of Credit. Any payment by a Borrower shall be without prejudice to any claim the Borrowers may have against a Lender that shall have failed to make such payment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Payments by Borrower; Presumptions by Administrative Agent</w:t>
      </w:r>
      <w:r>
        <w:rPr>
          <w:rFonts w:ascii="Times New Roman;Times;Serif" w:hAnsi="Times New Roman;Times;Serif"/>
          <w:b w:val="false"/>
          <w:i w:val="false"/>
          <w:caps w:val="false"/>
          <w:smallCaps w:val="false"/>
          <w:sz w:val="20"/>
        </w:rPr>
        <w:t>. Unless the Administrative Agent shall have received notice from the Lead Borrower prior to the date on which any payment is due to the Administrative Agent for the account of the Lenders or the Issuing Lender hereunder that the Borrowers will not make such payment, the Administrative Agent may assume that the Borrowers have made such payment on such date in accordance herewith and may, in reliance upon such assumption, distribute to the Lenders or the Issuing Lender, as the case may be, the amount due. In such event, if the Borrowers have not in fact made such payment, then each of the Lenders or the Issuing Lender, as the case may be, severally agrees to repay to the Administrative Agent forthwith on demand the amount so distributed to such Lender or the Issuing Lender,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the Administrative Agent to any Lender or the Lead Borrower with respect to any amount owing under subsections (a) and (b) of this Section shall be conclusive,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Failure to Satisfy Conditions Precedent</w:t>
      </w:r>
      <w:r>
        <w:rPr>
          <w:rFonts w:ascii="Times New Roman;Times;Serif" w:hAnsi="Times New Roman;Times;Serif"/>
          <w:b w:val="false"/>
          <w:i w:val="false"/>
          <w:caps w:val="false"/>
          <w:smallCaps w:val="false"/>
          <w:sz w:val="20"/>
        </w:rPr>
        <w:t>. If any Lender makes available to the Administrative Agent funds for any Loan to be made by such Lender as provided in the foregoing provisions of this Article II, and such funds are not made available to the Borrowers by the Administrative Agent because the applicable conditions to the applicable Extension of Credit set forth in Article IV are not satisfied or waived in accordance with the terms thereof, the Administrative Agent shall return such funds (in like funds as received from such Lender) to such Lender, without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Obligations of Lenders Several</w:t>
      </w:r>
      <w:r>
        <w:rPr>
          <w:rFonts w:ascii="Times New Roman;Times;Serif" w:hAnsi="Times New Roman;Times;Serif"/>
          <w:b w:val="false"/>
          <w:i w:val="false"/>
          <w:caps w:val="false"/>
          <w:smallCaps w:val="false"/>
          <w:sz w:val="20"/>
        </w:rPr>
        <w:t xml:space="preserve">. The obligations of the Lenders hereunder to make Term Loans and Revolving Loans, to fund participations in Letters of Credit and Swingline Loans and to make payments pursuant to </w:t>
      </w:r>
      <w:r>
        <w:rPr>
          <w:rFonts w:ascii="Times New Roman;Times;Serif" w:hAnsi="Times New Roman;Times;Serif"/>
          <w:b w:val="false"/>
          <w:i w:val="false"/>
          <w:caps w:val="false"/>
          <w:smallCaps w:val="false"/>
          <w:sz w:val="20"/>
          <w:u w:val="single"/>
        </w:rPr>
        <w:t>Section 9.5(c)</w:t>
      </w:r>
      <w:r>
        <w:rPr>
          <w:rFonts w:ascii="Times New Roman;Times;Serif" w:hAnsi="Times New Roman;Times;Serif"/>
          <w:b w:val="false"/>
          <w:i w:val="false"/>
          <w:caps w:val="false"/>
          <w:smallCaps w:val="false"/>
          <w:sz w:val="20"/>
        </w:rPr>
        <w:t xml:space="preserve"> are several and not joint. The failure of any Lender to make any Loan, to fund any such participation or to make any such payment under </w:t>
      </w:r>
      <w:r>
        <w:rPr>
          <w:rFonts w:ascii="Times New Roman;Times;Serif" w:hAnsi="Times New Roman;Times;Serif"/>
          <w:b w:val="false"/>
          <w:i w:val="false"/>
          <w:caps w:val="false"/>
          <w:smallCaps w:val="false"/>
          <w:sz w:val="20"/>
          <w:u w:val="single"/>
        </w:rPr>
        <w:t>Section 9.5(c)</w:t>
      </w:r>
      <w:r>
        <w:rPr>
          <w:rFonts w:ascii="Times New Roman;Times;Serif" w:hAnsi="Times New Roman;Times;Serif"/>
          <w:b w:val="false"/>
          <w:i w:val="false"/>
          <w:caps w:val="false"/>
          <w:smallCaps w:val="false"/>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Times;Serif" w:hAnsi="Times New Roman;Times;Serif"/>
          <w:b w:val="false"/>
          <w:i w:val="false"/>
          <w:caps w:val="false"/>
          <w:smallCaps w:val="false"/>
          <w:sz w:val="20"/>
          <w:u w:val="single"/>
        </w:rPr>
        <w:t>Section 9.5(c)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Funding Source</w:t>
      </w:r>
      <w:r>
        <w:rPr>
          <w:rFonts w:ascii="Times New Roman;Times;Serif" w:hAnsi="Times New Roman;Times;Serif"/>
          <w:b w:val="false"/>
          <w:i w:val="false"/>
          <w:caps w:val="false"/>
          <w:smallCaps w:val="false"/>
          <w:sz w:val="20"/>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2.13</w:t>
        <w:tab/>
      </w:r>
      <w:r>
        <w:rPr>
          <w:rFonts w:ascii="Times New Roman;Times;Serif" w:hAnsi="Times New Roman;Times;Serif"/>
          <w:b/>
          <w:i w:val="false"/>
          <w:caps w:val="false"/>
          <w:smallCaps w:val="false"/>
          <w:sz w:val="20"/>
        </w:rPr>
        <w:t>Inability to Determine Interest Rate; Benchmark Replacement.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clauses (b), (c), (d), (e) and (f) of this Section 2.13,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determines (which determination shall be conclusive absent manifest error) (A) prior to the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applicable Adjusted Daily Simple SOFR;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the Adjusted Daily Simple SOFR will not adequately and fairly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 the cost to such Lenders (or Lender) of making or maintaining their Loans (or its Loan) included in such Borrowing;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 xml:space="preserve">then the Administrative Agent shall give notice thereof to the Lead Borrower and the Lenders by telephone, telecopy or electronic mail as promptly as practicable thereafter and, until (x) the Administrative Agent notifies the Lead Borrower and the Lenders that the circumstances giving rise to such notice no longer exist with respect to the relevant Benchmark and (y) the Lead Borrower delivers a new Notice of Borrowing or </w:t>
      </w:r>
      <w:r>
        <w:rPr>
          <w:rFonts w:ascii="Times New Roman;Times;Serif" w:hAnsi="Times New Roman;Times;Serif"/>
          <w:b w:val="false"/>
          <w:i w:val="false"/>
          <w:caps w:val="false"/>
          <w:smallCaps w:val="false"/>
          <w:sz w:val="24"/>
        </w:rPr>
        <w:t xml:space="preserve">Notice of Conversion/Extension </w:t>
      </w:r>
      <w:r>
        <w:rPr>
          <w:rFonts w:ascii="Times New Roman;Times;Serif" w:hAnsi="Times New Roman;Times;Serif"/>
          <w:b w:val="false"/>
          <w:i w:val="false"/>
          <w:caps w:val="false"/>
          <w:smallCaps w:val="false"/>
          <w:sz w:val="20"/>
        </w:rPr>
        <w:t xml:space="preserve">in accordance with the terms of this Agreement (1) any Notice of Conversion/Extension that requests the conversion of any Borrowing to, or continuation of any Borrowing as, a Term Benchmark Borrowing and any Notice of Borrowing that requests a Term Benchmark Borrowing shall instead be deemed to be a Notice of Conversion/Extension or a Notice of Borrowing, as applicable, for (x) an RFR Borrowing so long as the Adjusted Daily Simple SOFR is not also the subject of </w:t>
      </w:r>
      <w:r>
        <w:rPr>
          <w:rFonts w:ascii="Times New Roman;Times;Serif" w:hAnsi="Times New Roman;Times;Serif"/>
          <w:b w:val="false"/>
          <w:i w:val="false"/>
          <w:caps w:val="false"/>
          <w:smallCaps w:val="false"/>
          <w:sz w:val="20"/>
          <w:u w:val="single"/>
        </w:rPr>
        <w:t>Section 2.13(a)(i)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or (y) an ABR Borrowing if the Adjusted Daily Simple SOFR also is the subject of </w:t>
      </w:r>
      <w:r>
        <w:rPr>
          <w:rFonts w:ascii="Times New Roman;Times;Serif" w:hAnsi="Times New Roman;Times;Serif"/>
          <w:b w:val="false"/>
          <w:i w:val="false"/>
          <w:caps w:val="false"/>
          <w:smallCaps w:val="false"/>
          <w:sz w:val="20"/>
          <w:u w:val="single"/>
        </w:rPr>
        <w:t>Section 2.13(a)(i)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and (2) if the Adjusted Daily Simple SOFR is the subject of </w:t>
      </w:r>
      <w:r>
        <w:rPr>
          <w:rFonts w:ascii="Times New Roman;Times;Serif" w:hAnsi="Times New Roman;Times;Serif"/>
          <w:b w:val="false"/>
          <w:i w:val="false"/>
          <w:caps w:val="false"/>
          <w:smallCaps w:val="false"/>
          <w:sz w:val="20"/>
          <w:u w:val="single"/>
        </w:rPr>
        <w:t>Section 2.13(a)(i)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any Notice of Borrowing that requests an RFR Borrowing shall instead be deemed to be a Notice of Borrowing for an ABR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circumstances giving rise to such notice affect only one Type of Borrowing, then all other Types of Borrowings shall be permitted. Furthermore, if any Term Benchmark Loan or RFR Loan is outstanding on the date of the Lead Borrower’s receipt of the notice from the Administrative Agent referred to in this Section 2.13(a) with respect to a Relevant Rate applicable to such Term Benchmark Loan or RFR Loan, then until (x) the Administrative Agent notifies the Lead Borrower and the Lenders that the circumstances giving rise to such notice no longer exist with respect to the relevant Benchmark and (y) the Lead Borrower delivers a new Notice of Conversion/Extension or Notice of Borrowing in accordance with this Agreement, (1) any Term Benchmark Loan shall on the last day of the Interest Period applicable to such Loan, be converted by the Administrative Agent to, and shall constitute, (x) an RFR Borrowing so long as the Adjusted Daily Simple SOFR is not also the subject of </w:t>
      </w:r>
      <w:r>
        <w:rPr>
          <w:rFonts w:ascii="Times New Roman;Times;Serif" w:hAnsi="Times New Roman;Times;Serif"/>
          <w:b w:val="false"/>
          <w:i w:val="false"/>
          <w:caps w:val="false"/>
          <w:smallCaps w:val="false"/>
          <w:sz w:val="20"/>
          <w:u w:val="single"/>
        </w:rPr>
        <w:t>Section 2.13(a)(i)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or (y) an ABR Loan if the Adjusted Daily Simple SOFR also is the subject of </w:t>
      </w:r>
      <w:r>
        <w:rPr>
          <w:rFonts w:ascii="Times New Roman;Times;Serif" w:hAnsi="Times New Roman;Times;Serif"/>
          <w:b w:val="false"/>
          <w:i w:val="false"/>
          <w:caps w:val="false"/>
          <w:smallCaps w:val="false"/>
          <w:sz w:val="20"/>
          <w:u w:val="single"/>
        </w:rPr>
        <w:t>Section 2.13(a)(i)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on such day, and (2) if the Adjusted Daily Simple SOFR is the subject of </w:t>
      </w:r>
      <w:r>
        <w:rPr>
          <w:rFonts w:ascii="Times New Roman;Times;Serif" w:hAnsi="Times New Roman;Times;Serif"/>
          <w:b w:val="false"/>
          <w:i w:val="false"/>
          <w:caps w:val="false"/>
          <w:smallCaps w:val="false"/>
          <w:sz w:val="20"/>
          <w:u w:val="single"/>
        </w:rPr>
        <w:t>Section 2.13(a)(i)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any RFR Loan shall on and from such day be converted by the Administrative Agent to, and shall constitute, an ABR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or in any other Credit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(including any related adjustments)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(2)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or in any other Credit Document, the Administrative Agent will have the right, in consultation with the Lead Borrower, to make Benchmark Replacement Conforming Changes from time to time and, notwithstanding anything to the contrary herein or in any other Credit Document, any amendments implementing such Benchmark Replacement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Conforming Changes will become effective without any further action or consent of any other party to this Agreement or any other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Administrative Agent will promptly notify the Lead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or in any other Credit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Upon the Lead Borrower’s receipt of notice of the commencement of a Benchmark Unavailability Period, the Lead Borrower may revoke any request for (i) a Term Benchmark Borrowing, conversion to or continuation of Term Benchmark Loans to be made, converted or continued or (ii) a RFR Borrowing or conversion to RFR Loans, during any Benchmark Unavailability Period and, failing that, the Lead Borrower will be deemed to have converted any request for a Term Benchmark Borrowing or RFR Borrowing, as applicable, into a request for a Borrowing of or conversion to (A) solely with respect to any such request for a Term Benchmark Borrowing, an RFR Borrowing so long as the Adjusted Daily Simple SOFR is not the subject of a Benchmark Transition Event or (B) an ABR Borrowing if the Adjusted Daily Simple SOFR is the subject of a Benchmark Transition Event.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Term Benchmark Loan or RFR Loan is outstanding on the date of the Lead Borrower’s receipt of notice of the commencement of a Benchmark Unavailability Period with respect to a Relevant Rate applicable to such Term Benchmark Loan or RFR Loan, then until such time as a Benchmark Replacement is implemented pursuant to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(1) any Term Benchmark Loan shall on the last day of the Interest Period applicable to such Loan, be converted by the Administrative Agent to, and shall constitute, (x) an RFR Borrowing so long as the Adjusted Daily Simple SOFR is not the subject of a Benchmark Transition Event or (y) an ABR Loan if the Adjusted Daily Simple SOFR is the subject of a Benchmark Transition Event, on such day and (2) any RFR Loan shall on and from such day be converted by the Administrative Agent to, and shall constitute an ABR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2.14</w:t>
        <w:tab/>
      </w:r>
      <w:r>
        <w:rPr>
          <w:rFonts w:ascii="Times New Roman;Times;Serif" w:hAnsi="Times New Roman;Times;Serif"/>
          <w:b/>
          <w:i w:val="false"/>
          <w:caps w:val="false"/>
          <w:smallCaps w:val="false"/>
          <w:sz w:val="20"/>
        </w:rPr>
        <w:t>Yield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Increased Costs Generally</w:t>
      </w:r>
      <w:r>
        <w:rPr>
          <w:rFonts w:ascii="Times New Roman;Times;Serif" w:hAnsi="Times New Roman;Times;Serif"/>
          <w:b w:val="false"/>
          <w:i w:val="false"/>
          <w:caps w:val="false"/>
          <w:smallCaps w:val="false"/>
          <w:sz w:val="20"/>
        </w:rPr>
        <w:t>. If any Change in Law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compulsory loan, insurance charge or similar requirement against assets of, deposits with or for the account of, or credit extended or participated in by, any Lender or Issuing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impose on any Lender or Issuing Lender any other condition, cost or expense (other than Taxes) affecting this Agreement or Loans made by such Lender or any Letter of Credit or participation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Issuing Lender or other Recipient hereunder (whether of principal, interest or any other amount) then, upon request of such Lender, Issuing Lender or other Recipient, the Borrowers will, jointly and severally, pay to such Lender, Issuing Lender or other Recipient, as the case may be, such additional amount or amounts as will compensate such Lender, Issuing Lender or other Recipient, as the case may be, for such additional costs incurred or reduction suffered.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Capital Requirements</w:t>
      </w:r>
      <w:r>
        <w:rPr>
          <w:rFonts w:ascii="Times New Roman;Times;Serif" w:hAnsi="Times New Roman;Times;Serif"/>
          <w:b w:val="false"/>
          <w:i w:val="false"/>
          <w:caps w:val="false"/>
          <w:smallCaps w:val="false"/>
          <w:sz w:val="20"/>
        </w:rPr>
        <w:t>. If any Lender or Issuing Lender determines that any Change in Law affecting such Lender or Issuing Lender or any lending office of such Lender or such Lender’s or Issuing Lender’s holding company, if any, regarding capital or liquidity requirements has or would have the effect of reducing the rate of return on such Lender’s or Issuing Lender’s capital or on the capital of such Lender’s or Issuing Lender’s holding company, if any, as a consequence of this Agreement, the Commitments of such Lender or the Loans made by, or participations in Letters of Credit or Swingline Loans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Borrowers will, jointly and severally, pay to such Lender or Issuing Lender, as the case may be, such additional amount or amounts as will compensate such Lender or Issuing Lender or such Lender’s or Issuing Lender’s holding company for any such reduction suffered.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Certificates for Reimbursement</w:t>
      </w:r>
      <w:r>
        <w:rPr>
          <w:rFonts w:ascii="Times New Roman;Times;Serif" w:hAnsi="Times New Roman;Times;Serif"/>
          <w:b w:val="false"/>
          <w:i w:val="false"/>
          <w:caps w:val="false"/>
          <w:smallCaps w:val="false"/>
          <w:sz w:val="20"/>
        </w:rPr>
        <w:t>. A certificate of a Lender or Issuing Lender setting forth the amount or amounts necessary to compensate such Lender or Issuing Lender or its holding company, as the case may be, as specified in paragraph (a) or (b) of this Section and delivered to the Lead Borrower shall be conclusive absent manifest error. The Borrowers shall, jointly and severally, pay such Lender or Issuing Lender, as the case may be, the amount shown as due on any such certificate within ten (10) days after receipt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Delay in Requests</w:t>
      </w:r>
      <w:r>
        <w:rPr>
          <w:rFonts w:ascii="Times New Roman;Times;Serif" w:hAnsi="Times New Roman;Times;Serif"/>
          <w:b w:val="false"/>
          <w:i w:val="false"/>
          <w:caps w:val="false"/>
          <w:smallCaps w:val="false"/>
          <w:sz w:val="20"/>
        </w:rPr>
        <w:t xml:space="preserve">. Failure or delay on the part of any Lender or Issuing Lender to demand compensation pursuant to this Section shall not constitute a waiver of such Lender’s or Issuing Lender’s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Borrowers shall not be required to compensate a Lender or Issuing Lender pursuant to this Section for any increased costs incurred or reductions suffered more than nine (9) months prior to the date such Lender or Issuing Lender, as the case may be, notifies the Lead Borrower of the Change in Law giving rise to such increased costs or reductions, and of such Lender’s or Issuing Lender’s intention to claim compensation therefore (except that, if the Change in Law giving rise to such increased costs or reductions is retroactive, then the nine-month period referred to above shall be extended to include the period of retroactive effect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2.15</w:t>
        <w:tab/>
      </w:r>
      <w:r>
        <w:rPr>
          <w:rFonts w:ascii="Times New Roman;Times;Serif" w:hAnsi="Times New Roman;Times;Serif"/>
          <w:b/>
          <w:i w:val="false"/>
          <w:caps w:val="false"/>
          <w:smallCaps w:val="false"/>
          <w:sz w:val="20"/>
        </w:rPr>
        <w:t>Compensation for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following demand of any Lender (with a copy to the Administrative Agent) from time to time, the Borrowers shall, jointly and severally, promptly compensate such Lender for and hold such Lender harmless from any loss, cost or expense incurred by it as a result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continuation, conversion, payment or prepayment of any Loan other than an ABR Loan on a day other than the last day of the Interest Period for such Loan (whether voluntary, mandatory, automatic, by reason of acceleration,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failure by the Borrowers (for a reason other than the failure of such Lender to make a Loan) to prepay, borrow, continue or convert any Loan other than an ABR Loan on the date or in the amount notified by the Lead Borrower;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assignment of a Term Benchmark Loan on a day other than the last day of the Interest Period therefor as a result of a request by the Borrowers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any loss of anticipated profits and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2.16</w:t>
        <w:tab/>
      </w:r>
      <w:r>
        <w:rPr>
          <w:rFonts w:ascii="Times New Roman;Times;Serif" w:hAnsi="Times New Roman;Times;Serif"/>
          <w:b/>
          <w:i w:val="false"/>
          <w:caps w:val="false"/>
          <w:smallCaps w:val="false"/>
          <w:sz w:val="20"/>
        </w:rPr>
        <w:t>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the term “Lender” includes any Issuing Lender and the term “applicable law” includes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Any and all payments by or on account of any obligation of any Credit Party under any Credit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 of Other Taxes by the Borrowers</w:t>
      </w:r>
      <w:r>
        <w:rPr>
          <w:rFonts w:ascii="Times New Roman;Times;Serif" w:hAnsi="Times New Roman;Times;Serif"/>
          <w:b w:val="false"/>
          <w:i w:val="false"/>
          <w:caps w:val="false"/>
          <w:smallCaps w:val="false"/>
          <w:sz w:val="20"/>
        </w:rPr>
        <w:t>. The Borrowers shall, jointly and severally, timely pay to the relevant Governmental Authority in accordance with applicable law, or at the option of the Administrative Agent timely reimburse it for the payment of, any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the Borrower</w:t>
      </w:r>
      <w:r>
        <w:rPr>
          <w:rFonts w:ascii="Times New Roman;Times;Serif" w:hAnsi="Times New Roman;Times;Serif"/>
          <w:b w:val="false"/>
          <w:i w:val="false"/>
          <w:caps w:val="false"/>
          <w:smallCaps w:val="false"/>
          <w:sz w:val="20"/>
        </w:rPr>
        <w:t>. The Borrowers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Lead Borrower by a Lender (with a copy to the Administrative Agent), or by the Administrative Agent on its own behalf or on behalf of a Lender, shall be conclusive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 by the Lenders</w:t>
      </w:r>
      <w:r>
        <w:rPr>
          <w:rFonts w:ascii="Times New Roman;Times;Serif" w:hAnsi="Times New Roman;Times;Serif"/>
          <w:b w:val="false"/>
          <w:i w:val="false"/>
          <w:caps w:val="false"/>
          <w:smallCaps w:val="false"/>
          <w:sz w:val="20"/>
        </w:rPr>
        <w:t xml:space="preserve">. 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obligations of the Borrowers to do so), (ii) any Taxes attributable to such Lender’s failure to comply with the provisions of </w:t>
      </w:r>
      <w:r>
        <w:rPr>
          <w:rFonts w:ascii="Times New Roman;Times;Serif" w:hAnsi="Times New Roman;Times;Serif"/>
          <w:b w:val="false"/>
          <w:i w:val="false"/>
          <w:caps w:val="false"/>
          <w:smallCaps w:val="false"/>
          <w:sz w:val="20"/>
          <w:u w:val="single"/>
        </w:rPr>
        <w:t>Section 9.6(d)</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Evidence of Payments</w:t>
      </w:r>
      <w:r>
        <w:rPr>
          <w:rFonts w:ascii="Times New Roman;Times;Serif" w:hAnsi="Times New Roman;Times;Serif"/>
          <w:b w:val="false"/>
          <w:i w:val="false"/>
          <w:caps w:val="false"/>
          <w:smallCaps w:val="false"/>
          <w:sz w:val="20"/>
        </w:rPr>
        <w:t xml:space="preserve">. As soon as practicable after any payment of Taxes by the Borrowers to a Governmental Authority pursuant to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the Lead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 xml:space="preserve">. (i) Any Lender that is entitled to an exemption from or reduction of withholding Tax with respect to payments made under any Credit Document shall deliver to the Lead Borrower and the Administrative Agent, at the time or times reasonably requested by the Lead Borrower or the Administrative Agent, such properly completed and executed documentation reasonably requested by the Lead Borrower or the Administrative Agent as will permit such payments to be made without withholding or at a reduced rate of withholding. In addition, any Lender, if reasonably requested by the Lead Borrower or the Administrative Agent, shall deliver such other documentation prescribed by applicable law or reasonably requested by the Lead Borrower or the Administrative Agent as will enable the Lead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 2.16(g)(ii)(A)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(ii)(D)</w:t>
      </w:r>
      <w:r>
        <w:rPr>
          <w:rFonts w:ascii="Times New Roman;Times;Serif" w:hAnsi="Times New Roman;Times;Serif"/>
          <w:b w:val="false"/>
          <w:i w:val="false"/>
          <w:caps w:val="false"/>
          <w:smallCaps w:val="false"/>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a Borrower is a U.S.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Lead Borrower and the Administrative Agent on or prior to the date on which such Lender becomes a Lender under this Agreement (and from time to time thereafter upon the reasonable request of the Lead Borrower or the Administrative Agent), executed copies of IRS Form W-9 certifying that such Lender is exempt from U.S. federal backup withholding tax;</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Lead Borrower and the Administrative Agent (in such number of copies as shall be requested by the recipient) on or prior to the date on which such Foreign Lender becomes a Lender under this Agreement (and from time to time thereafter upon the reasonable request of the Lead Borrower or the Administrative Agent), whichever of the following is applicable:</w:t>
      </w:r>
    </w:p>
    <w:p>
      <w:pPr>
        <w:pStyle w:val="TextBody"/>
        <w:bidi w:val="0"/>
        <w:spacing w:before="0" w:after="0"/>
        <w:ind w:left="144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color w:val="010000"/>
              </w:rPr>
            </w:pPr>
            <w:r>
              <w:rPr>
                <w:color w:val="010000"/>
              </w:rPr>
              <w:t>1)</w:t>
            </w:r>
          </w:p>
        </w:tc>
        <w:tc>
          <w:tcPr>
            <w:tcW w:w="10018" w:type="dxa"/>
            <w:tcBorders/>
            <w:vAlign w:val="center"/>
          </w:tcPr>
          <w:p>
            <w:pPr>
              <w:pStyle w:val="TableContents"/>
              <w:bidi w:val="0"/>
              <w:spacing w:before="0" w:after="283"/>
              <w:jc w:val="both"/>
              <w:rPr/>
            </w:pPr>
            <w:r>
              <w:rPr/>
              <w:t>in the case of a Foreign Lender claiming the benefits of an income tax treaty to which the United States is a party (x) with respect to payments of interest under any Credit Document, executed copies of IRS Form W-8BEN or IRS Form W-8BEN-E establishing an exemption from, or reduction of, U.S. federal withholding Tax pursuant to the “interest” article of such tax treaty and (y) with respect to any other applicable payments under any Credit Document, IRS Form W-8BEN or IRS Form W-8BEN-E establishing an exemption from, or reduction of, U.S. federal withholding Tax pursuant to the “business profits” or “other income” article of such tax treaty;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51"/>
        <w:gridCol w:w="9557"/>
      </w:tblGrid>
      <w:tr>
        <w:trPr/>
        <w:tc>
          <w:tcPr>
            <w:tcW w:w="9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color w:val="010000"/>
              </w:rPr>
            </w:pPr>
            <w:r>
              <w:rPr>
                <w:color w:val="010000"/>
              </w:rPr>
              <w:t>2)</w:t>
            </w:r>
          </w:p>
        </w:tc>
        <w:tc>
          <w:tcPr>
            <w:tcW w:w="9557" w:type="dxa"/>
            <w:tcBorders/>
            <w:vAlign w:val="center"/>
          </w:tcPr>
          <w:p>
            <w:pPr>
              <w:pStyle w:val="TableContents"/>
              <w:bidi w:val="0"/>
              <w:spacing w:before="0" w:after="283"/>
              <w:jc w:val="both"/>
              <w:rPr/>
            </w:pPr>
            <w:r>
              <w:rPr/>
              <w:t>executed copies of IRS Form W-8ECI;</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color w:val="010000"/>
              </w:rPr>
            </w:pPr>
            <w:r>
              <w:rPr>
                <w:color w:val="010000"/>
              </w:rPr>
              <w:t>3)</w:t>
            </w:r>
          </w:p>
        </w:tc>
        <w:tc>
          <w:tcPr>
            <w:tcW w:w="10017" w:type="dxa"/>
            <w:tcBorders/>
            <w:vAlign w:val="center"/>
          </w:tcPr>
          <w:p>
            <w:pPr>
              <w:pStyle w:val="TableContents"/>
              <w:bidi w:val="0"/>
              <w:spacing w:before="0" w:after="283"/>
              <w:jc w:val="both"/>
              <w:rPr/>
            </w:pPr>
            <w:r>
              <w:rPr/>
              <w:t xml:space="preserve">in the case of a Foreign Lender claiming the benefits of the exemption for portfolio interest under </w:t>
            </w:r>
            <w:r>
              <w:rPr>
                <w:u w:val="single"/>
              </w:rPr>
              <w:t>Section 881(c)</w:t>
            </w:r>
            <w:r>
              <w:rPr/>
              <w:t xml:space="preserve"> of the Code, (x) a certificate substantially in the form of Exhibit 2.16(a) to the effect that such Foreign Lender is not a “bank” within the meaning of </w:t>
            </w:r>
            <w:r>
              <w:rPr>
                <w:u w:val="single"/>
              </w:rPr>
              <w:t>Section 881(c)(3)(A)</w:t>
            </w:r>
            <w:r>
              <w:rPr/>
              <w:t xml:space="preserve"> of the Code, a “10 percent shareholder” of a Borrower within the meaning of </w:t>
            </w:r>
            <w:r>
              <w:rPr>
                <w:u w:val="single"/>
              </w:rPr>
              <w:t>Section 871(h)(3)(B)</w:t>
            </w:r>
            <w:r>
              <w:rPr/>
              <w:t xml:space="preserve"> of the Code, or a “controlled foreign corporation” related to a Borrower as described in </w:t>
            </w:r>
            <w:r>
              <w:rPr>
                <w:u w:val="single"/>
              </w:rPr>
              <w:t>Section 881(c)(3)(C)</w:t>
            </w:r>
            <w:r>
              <w:rPr/>
              <w:t xml:space="preserve"> of the Code (a “</w:t>
            </w:r>
            <w:r>
              <w:rPr>
                <w:u w:val="single"/>
              </w:rPr>
              <w:t>U.S. Tax Compliance Certificate</w:t>
            </w:r>
            <w:r>
              <w:rPr/>
              <w:t>”) and (y) executed copies of IRS Form W-8BEN or IRS Form W-8BEN-E;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color w:val="010000"/>
              </w:rPr>
            </w:pPr>
            <w:r>
              <w:rPr>
                <w:color w:val="010000"/>
              </w:rPr>
              <w:t>4)</w:t>
            </w:r>
          </w:p>
        </w:tc>
        <w:tc>
          <w:tcPr>
            <w:tcW w:w="10017" w:type="dxa"/>
            <w:tcBorders/>
            <w:vAlign w:val="center"/>
          </w:tcPr>
          <w:p>
            <w:pPr>
              <w:pStyle w:val="TableContents"/>
              <w:bidi w:val="0"/>
              <w:spacing w:before="0" w:after="283"/>
              <w:jc w:val="both"/>
              <w:rPr/>
            </w:pPr>
            <w:r>
              <w:rPr/>
              <w:t xml:space="preserve">to the extent a Foreign Lender is not the beneficial owner, executed copies of IRS Form W-8IMY, accompanied by IRS Form W-8ECI, IRS Form W-8BEN or IRS Form W-8BEN-E, a U.S. Tax Compliance Certificate substantially in the form of Exhibit 2.16(b) or Exhibit 2.16(c), IRS Form W-9, and/or other certification documents from each beneficial owner, as applicable; </w:t>
            </w:r>
            <w:r>
              <w:rPr>
                <w:u w:val="single"/>
              </w:rPr>
              <w:t>provided</w:t>
            </w:r>
            <w:r>
              <w:rPr/>
              <w:t xml:space="preserve"> that if the Foreign Lender is a partnership and one or more direct or indirect partners of such Foreign Lender are claiming the portfolio interest exemption, such Foreign Lender may provide a U.S. Tax Compliance Certificate substantially 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Exhibit 2.16(d) on behalf of each such direct and indirect partner;</w:t>
      </w:r>
    </w:p>
    <w:p>
      <w:pPr>
        <w:pStyle w:val="TextBody"/>
        <w:bidi w:val="0"/>
        <w:spacing w:before="0" w:after="0"/>
        <w:ind w:left="3600" w:right="0" w:hanging="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Lead Borrower and the Administrative Agent (in such number of copies as shall be requested by the recipient) on or prior to the date on which such Foreign Lender becomes a Lender under this Agreement (and from time to time thereafter upon the reasonable request of the Lead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Lead Borrower or the Administrative Agent to determine the withholding or deduction required to be made;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 payment made to a Lender under any Credit Document would be subject to U.S. federal withholding Tax imposed by FATCA if such Lender were to fail to comply with the applicable reporting requirements of FATCA (including those contained in </w:t>
      </w:r>
      <w:r>
        <w:rPr>
          <w:rFonts w:ascii="Times New Roman;Times;Serif" w:hAnsi="Times New Roman;Times;Serif"/>
          <w:b w:val="false"/>
          <w:i w:val="false"/>
          <w:caps w:val="false"/>
          <w:smallCaps w:val="false"/>
          <w:sz w:val="20"/>
          <w:u w:val="single"/>
        </w:rPr>
        <w:t>Section 1471(b)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1472(b)</w:t>
      </w:r>
      <w:r>
        <w:rPr>
          <w:rFonts w:ascii="Times New Roman;Times;Serif" w:hAnsi="Times New Roman;Times;Serif"/>
          <w:b w:val="false"/>
          <w:i w:val="false"/>
          <w:caps w:val="false"/>
          <w:smallCaps w:val="false"/>
          <w:sz w:val="20"/>
        </w:rPr>
        <w:t xml:space="preserve"> of the Code, as applicable), such Lender shall deliver to the Lead Borrower and the Administrative Agent at the time or times prescribed by law and at such time or times reasonably requested by the Lead Borrower or the Administrative Agent such documentation prescribed by applicable law (including as prescribed by </w:t>
      </w:r>
      <w:r>
        <w:rPr>
          <w:rFonts w:ascii="Times New Roman;Times;Serif" w:hAnsi="Times New Roman;Times;Serif"/>
          <w:b w:val="false"/>
          <w:i w:val="false"/>
          <w:caps w:val="false"/>
          <w:smallCaps w:val="false"/>
          <w:sz w:val="20"/>
          <w:u w:val="single"/>
        </w:rPr>
        <w:t>Section 1471(b)(3)(C)(i)</w:t>
      </w:r>
      <w:r>
        <w:rPr>
          <w:rFonts w:ascii="Times New Roman;Times;Serif" w:hAnsi="Times New Roman;Times;Serif"/>
          <w:b w:val="false"/>
          <w:i w:val="false"/>
          <w:caps w:val="false"/>
          <w:smallCaps w:val="false"/>
          <w:sz w:val="20"/>
        </w:rPr>
        <w:t xml:space="preserve"> of the Code) and such additional documentation reasonably requested by the Lead Borrower or the Administrative Agent as may be necessary for the Lead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Lead Borrower and the Administrative Agent in writing of its legal inability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2.17</w:t>
        <w:tab/>
      </w:r>
      <w:r>
        <w:rPr>
          <w:rFonts w:ascii="Times New Roman;Times;Serif" w:hAnsi="Times New Roman;Times;Serif"/>
          <w:b/>
          <w:i w:val="false"/>
          <w:caps w:val="false"/>
          <w:smallCaps w:val="false"/>
          <w:sz w:val="20"/>
        </w:rPr>
        <w:t>Indemnification; Nature of Issuing Lender’s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addition to its other obligations under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the Borrowers, jointly and severally, hereby agrees to protect, indemnify, pay and save each Issuing Lender and each Lender harmless from and against any and all claims, demands, liabilities, damages, losses, costs, charges and expenses (including reasonable attorneys’ fees) that such Issuing Lender or such Lender may incur or be subject to as a consequence, direct or indirect, of (i) the issuance of any Letter of Credit or (ii) the failure of an Issuing Lender to honor a drawing under a Letter of Credit as a result of any act or omission, whether rightful or wrongful, of any present or future de jure or de facto government or Governmental Authority (all such acts or omissions, herein called “</w:t>
      </w:r>
      <w:r>
        <w:rPr>
          <w:rFonts w:ascii="Times New Roman;Times;Serif" w:hAnsi="Times New Roman;Times;Serif"/>
          <w:b w:val="false"/>
          <w:i w:val="false"/>
          <w:caps w:val="false"/>
          <w:smallCaps w:val="false"/>
          <w:sz w:val="20"/>
          <w:u w:val="single"/>
        </w:rPr>
        <w:t>Government 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between the Borrowers, the Issuing Lender and each Lender, the Borrowers shall assume all risks of the acts, omissions or misuse of any Letter of Credit by the beneficiary thereof. Neither any Issuing Lender nor any Lender shall be responsible: (i) for the form, validity, sufficiency, accuracy, genuineness or legal effect of any document submitted by any party in connection with the application for and issuance of any Letter of Credit, even if it should in fact prove to be in any or all respects invalid, insufficient, inaccurate, fraudulent or forged; (ii) for the validity or sufficiency of any instrument transferring or assigning or purporting to transfer or assign any Letter of Credit or the rights or benefits thereunder or proceeds thereof, in whole or in part, that may prove to be invalid or ineffective for any reason; (iii) for failure of the beneficiary of a Letter of Credit to comply fully with conditions required in order to draw upon a Letter of Credit; (iv) for errors, omissions, interruptions or delays in transmission or delivery of any messages, by mail, cable, telegraph, telex or otherwise, whether or not they be in cipher; (v) for errors in interpretation of technical terms; (vi) for any loss or delay in the transmission or otherwise of any document required in order to make a drawing under a Letter of Credit or of the proceeds thereof; and (vii) for any consequences arising from causes beyond the control of the Issuing Lender or any Lender, including, without limitation, any Government Acts. None of the above shall affect, impair, or prevent the vesting of any Issuing Lender’s rights or powers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furtherance and extension and not in limitation of the specific provisions hereinabove set forth, any action taken or omitted by any Issuing Lender or any Lender, under or in connection with any Letter of Credit or the related certificates, if taken or omitted in the absence of gross negligence or willful misconduct, shall not put such Issuing Lender or such Lender under any resulting liability to any Borrower. It is the intention of the parties that this Agreement shall be construed and applied to protect and indemnify the Issuing Lender and each Lender against any and all risks involved in the issuance of the Letters of Credit, all of which risks are hereby assumed by the Borrowers, including, without limitation, any and all risks of the acts or omissions, whether rightful or wrongful, of any Governmental Authority. The Issuing Lenders and the Lenders shall not, in any way, be liable for any failure by an Issuing Lender or anyone else to pay any drawing under any Letter of Credit as a result of any Government Acts or any other cause beyond the control of the Issuing Lenders and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Nothing in this Section is intended to limit the Reimbursement Obligation of the Borrowers contained in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hereof. The obligations of the Borrowers under this Section shall survive the termination of this Agreement. No act or omissions of any current or prior beneficiary of a Letter of Credit shall in any way affect or impair the rights of the Issuing Lender and the Lenders to enforce any right, power or benefit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contained in this Section, the Borrowers shall have no obligation to indemnify any Issuing Lender or any Lender in respect of any liability incurred by such Issuing Lender or such Lender arising out of the gross negligence or willful misconduct of such Issuing Lender, as determined by a court of competent jurisdiction in a final, non-appealable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2.18</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2.19</w:t>
        <w:tab/>
      </w:r>
      <w:r>
        <w:rPr>
          <w:rFonts w:ascii="Times New Roman;Times;Serif" w:hAnsi="Times New Roman;Times;Serif"/>
          <w:b/>
          <w:i w:val="false"/>
          <w:caps w:val="false"/>
          <w:smallCaps w:val="false"/>
          <w:sz w:val="20"/>
        </w:rPr>
        <w:t>Mitigation Obligations; Replacement of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Designation of a Different Lending Office</w:t>
      </w:r>
      <w:r>
        <w:rPr>
          <w:rFonts w:ascii="Times New Roman;Times;Serif" w:hAnsi="Times New Roman;Times;Serif"/>
          <w:b w:val="false"/>
          <w:i w:val="false"/>
          <w:caps w:val="false"/>
          <w:smallCaps w:val="false"/>
          <w:sz w:val="20"/>
        </w:rPr>
        <w:t xml:space="preserve">. If any Lender requests compensation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requires the Borrowers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then such Lender shall (at the request of the Lead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as the case may be, in the future and (ii) would not subject such Lender to any unreimbursed cost or expense and would not otherwise be disadvantageous to such Lender. The Borrowers hereby, jointly and severally, agree to pay all reasonable costs and expenses incurred by any Lender in connection with any such designation or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Replacement of Lenders</w:t>
      </w:r>
      <w:r>
        <w:rPr>
          <w:rFonts w:ascii="Times New Roman;Times;Serif" w:hAnsi="Times New Roman;Times;Serif"/>
          <w:b w:val="false"/>
          <w:i w:val="false"/>
          <w:caps w:val="false"/>
          <w:smallCaps w:val="false"/>
          <w:sz w:val="20"/>
        </w:rPr>
        <w:t xml:space="preserve">. If any Lender requests compensation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if the Borrowers are required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and, in each case, such Lender has declined or is unable to designate a different lending office in accordance with </w:t>
      </w:r>
      <w:r>
        <w:rPr>
          <w:rFonts w:ascii="Times New Roman;Times;Serif" w:hAnsi="Times New Roman;Times;Serif"/>
          <w:b w:val="false"/>
          <w:i w:val="false"/>
          <w:caps w:val="false"/>
          <w:smallCaps w:val="false"/>
          <w:sz w:val="20"/>
          <w:u w:val="single"/>
        </w:rPr>
        <w:t>Section 2.19(a)</w:t>
      </w:r>
      <w:r>
        <w:rPr>
          <w:rFonts w:ascii="Times New Roman;Times;Serif" w:hAnsi="Times New Roman;Times;Serif"/>
          <w:b w:val="false"/>
          <w:i w:val="false"/>
          <w:caps w:val="false"/>
          <w:smallCaps w:val="false"/>
          <w:sz w:val="20"/>
        </w:rPr>
        <w:t xml:space="preserve">, or if any Lender is a Defaulting Lender or a Non-Consenting Lender, then the Lead Borrower may, at the sole expense and effort of the Borrowers, upon notice to such Lender and the Administrative Agent, require such Lender to assign and delegate, without recourse (in accordance with and subject to the restrictions contained in, and consents required by,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all of its interests, rights (other than its existing rights to payments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and obligations under this Agreement and the related Credit Documents to an Eligible Assignee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Borrowers shall have paid to the Administrative Agent the assignment fee (if any) specified in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Lender shall have received payment of an amount equal to the outstanding principal of its Loans and funded participations in Letters of Credit, accrued interest thereon, accrued fees and all other amounts payable to it hereunder and under the other Credit Documents (including any amounts under Section 2.15) from the assignee (to the extent of such outstanding principal) or the Borrowers (in the case of all other amounts);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case of any such assignment resulting from a claim for compensation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such assignment will result in a reduction in such compensation or payments thereafter;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assignment does not conflict with applicable law;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case of any assignment resulting from a Lender becoming a Non-Consenting Lender, the applicable assignee shall have consented to the applicable amendment, waiver or consent.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Lender shall not be required to make any such assignment or delegation if, prior thereto, as a result of a waiver by such Lender or otherwise, the circumstances entitling the Lead Borrower to require such assignment and delegation cease to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2.20</w:t>
        <w:tab/>
      </w:r>
      <w:r>
        <w:rPr>
          <w:rFonts w:ascii="Times New Roman;Times;Serif" w:hAnsi="Times New Roman;Times;Serif"/>
          <w:b/>
          <w:i w:val="false"/>
          <w:caps w:val="false"/>
          <w:smallCaps w:val="false"/>
          <w:sz w:val="20"/>
        </w:rPr>
        <w:t>Cash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xml:space="preserve">. At any time that there shall exist a Defaulting Lender, within one (1) Business Day following the written request of the Administrative Agent or any Issuing Lender (with a copy to the Administrative Agent), the Borrowers shall, jointly and severally, Cash Collateralize all Fronting Exposure of the Issuing Lenders with respect to such Defaulting Lender (determined after giving effect to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 xml:space="preserve"> and any Cash Collateral provided by the Defaulting Lender) in an amount not less than the Minimum Collateral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The Borrowers, and to the extent provided by any Defaulting Lender, such Defaulting Lender, hereby grants to the Administrative Agent, for the benefit of the Issuing Lenders, and agrees to maintain, a first priority security interest in all such Cash Collateral as security for the Defaulting Lenders’ obligation to fund participations in respect of LOC Obligations, to be applied pursuant to clause (c) below. If at any time the Administrative Agent determines that Cash Collateral is subject to any right or claim of any Person other than the Administrative Agent and the Issuing Lenders as herein provided, or that the total amount of such Cash Collateral is less than the Minimum Collateral Amount, the Borrowers will, promptly upon demand by the Administrative Agent, jointly and severally, pay or provide to the Administrative Agent additional Cash Collateral in an amount sufficient to eliminate such deficiency (after giving effect to any Cash Collateral provided by the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Notwithstanding anything to the contrary contained in this Agreement, Cash Collateral provided under this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in respect of Letters of Credit, shall be applied to the satisfaction of the Defaulting Lender’s obligations to fund participations in respect of LOC Obligations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of Requirement</w:t>
      </w:r>
      <w:r>
        <w:rPr>
          <w:rFonts w:ascii="Times New Roman;Times;Serif" w:hAnsi="Times New Roman;Times;Serif"/>
          <w:b w:val="false"/>
          <w:i w:val="false"/>
          <w:caps w:val="false"/>
          <w:smallCaps w:val="false"/>
          <w:sz w:val="20"/>
        </w:rPr>
        <w:t xml:space="preserve">. Cash Collateral (or the appropriate portion thereof) provided to reduce any Issuing Lender’s Fronting Exposure shall no longer be required to be held as Cash Collateral pursuant to this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following (i) the elimination of the applicable Fronting Exposure (including by the termination of Defaulting Lender status of the applicable Lender), or (ii) the determination by the Administrative Agent and each Issuing Lender that there exists excess Cash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the Person providing Cash Collateral and each Issuing Lender may agree that Cash Collateral shall be held to support future anticipated Fronting Exposure or other obligations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to the extent that such Cash Collateral was provided by the Borrowers, such Cash Collateral shall remain subject to the security interest granted pursuant to the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2.21</w:t>
        <w:tab/>
      </w:r>
      <w:r>
        <w:rPr>
          <w:rFonts w:ascii="Times New Roman;Times;Serif" w:hAnsi="Times New Roman;Times;Serif"/>
          <w:b/>
          <w:i w:val="false"/>
          <w:caps w:val="false"/>
          <w:smallCaps w:val="false"/>
          <w:sz w:val="20"/>
        </w:rPr>
        <w:t>Defaulting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Defaulting Lender Adjustments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xml:space="preserve">. Such Defaulting Lender’s right to approve or disapprove any amendment, waiver or consent with respect to this Agreement shall be restricted as set forth in the definition of Required Lenders and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the payment on a pro rata basis of any amounts owing by such Defaulting Lender to any Issuing Lender or Swingline Lender hereunder;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Cash Collateralize the Issuing Lender’s Fronting Exposure with respect to such Defaulting Lender in accordance with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as the Borrowers may request (so long as no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if so determined by the Administrative Agent and the Borrowers, to be held in a deposit account and released pro rata in order to (x) 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the payment of any amounts owing to the Lenders, the Issuing Lenders or Swingline Lenders as a result of any judgment of a court of competent jurisdiction obtained by any Lender, the Issuing Lenders or Swingline Lenders against such Defaulting Lender as a result of such Defaulting Lender’s breach of its obligations under this Agreement; </w:t>
      </w:r>
      <w:r>
        <w:rPr>
          <w:rFonts w:ascii="Times New Roman;Times;Serif" w:hAnsi="Times New Roman;Times;Serif"/>
          <w:b w:val="false"/>
          <w:i/>
          <w:caps w:val="false"/>
          <w:smallCaps w:val="false"/>
          <w:sz w:val="20"/>
        </w:rPr>
        <w:t>seventh</w:t>
      </w:r>
      <w:r>
        <w:rPr>
          <w:rFonts w:ascii="Times New Roman;Times;Serif" w:hAnsi="Times New Roman;Times;Serif"/>
          <w:b w:val="false"/>
          <w:i w:val="false"/>
          <w:caps w:val="false"/>
          <w:smallCaps w:val="false"/>
          <w:sz w:val="20"/>
        </w:rPr>
        <w:t xml:space="preserve">, so long as no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Times;Serif" w:hAnsi="Times New Roman;Times;Serif"/>
          <w:b w:val="false"/>
          <w:i/>
          <w:caps w:val="false"/>
          <w:smallCaps w:val="false"/>
          <w:sz w:val="20"/>
        </w:rPr>
        <w:t>eighth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such payment is a payment of the principal amount of any Loans or LOC Obligations in respect of which such Defaulting Lender has not fully funded its appropriate share and (B) such Loans were made or the related Letters of Credit were issued at a time when the conditions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were satisfied or waived, such payment shall be applied solely to pay the Loans of, and LOC Obligations owed to, all Non-Defaulting Lenders on a pro rata basis prior to being applied to the payment of any Loans of, or LOC Obligations owed to, such Defaulting Lender until such time as all Loans and funded and unfunded participations in LOC Obligations and Swingline Loans are held by the Lenders pro rata in accordance with the Commitments under the applicable facility without giving effect to </w:t>
      </w:r>
      <w:r>
        <w:rPr>
          <w:rFonts w:ascii="Times New Roman;Times;Serif" w:hAnsi="Times New Roman;Times;Serif"/>
          <w:b w:val="false"/>
          <w:i w:val="false"/>
          <w:caps w:val="false"/>
          <w:smallCaps w:val="false"/>
          <w:sz w:val="20"/>
          <w:u w:val="single"/>
        </w:rPr>
        <w:t>Section 2.21(a) (iv)</w:t>
      </w:r>
      <w:r>
        <w:rPr>
          <w:rFonts w:ascii="Times New Roman;Times;Serif" w:hAnsi="Times New Roman;Times;Serif"/>
          <w:b w:val="false"/>
          <w:i w:val="false"/>
          <w:caps w:val="false"/>
          <w:smallCaps w:val="false"/>
          <w:sz w:val="20"/>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b w:val="false"/>
          <w:i w:val="false"/>
          <w:caps w:val="false"/>
          <w:smallCaps w:val="false"/>
          <w:sz w:val="20"/>
          <w:u w:val="single"/>
        </w:rPr>
        <w:t>Section 2.21(a)(ii)</w:t>
      </w:r>
      <w:r>
        <w:rPr>
          <w:rFonts w:ascii="Times New Roman;Times;Serif" w:hAnsi="Times New Roman;Times;Serif"/>
          <w:b w:val="false"/>
          <w:i w:val="false"/>
          <w:caps w:val="false"/>
          <w:smallCaps w:val="false"/>
          <w:sz w:val="20"/>
        </w:rPr>
        <w:t xml:space="preserve"> shall be deemed paid to and redirected by such Defaulting Lender, and each Lender irrevocably consents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Commitment Fees</w:t>
      </w:r>
      <w:r>
        <w:rPr>
          <w:rFonts w:ascii="Times New Roman;Times;Serif" w:hAnsi="Times New Roman;Times;Serif"/>
          <w:b w:val="false"/>
          <w:i w:val="false"/>
          <w:caps w:val="false"/>
          <w:smallCaps w:val="false"/>
          <w:sz w:val="20"/>
        </w:rPr>
        <w:t>. 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 xml:space="preserve">.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Reallocation of Fees</w:t>
      </w:r>
      <w:r>
        <w:rPr>
          <w:rFonts w:ascii="Times New Roman;Times;Serif" w:hAnsi="Times New Roman;Times;Serif"/>
          <w:b w:val="false"/>
          <w:i w:val="false"/>
          <w:caps w:val="false"/>
          <w:smallCaps w:val="false"/>
          <w:sz w:val="20"/>
        </w:rPr>
        <w:t>. With respect to any Letter of Credit Fee not required to be paid to any Defaulting Lender pursuant to clause (A) or (B) above, the Borrowers shall, jointly and severally (x) pay to each Non-Defaulting Lender that portion of any such fee otherwise payable to such Defaulting Lender with respect to such Defaulting Lender’s participation in LOC Obligations or Swingline Loans that has been reallocated to such Non-Defaulting Lender pursuant to clause (iv) below, (y) pay to each Issuing Lender and Swingline Lender, as applicable, the amount of any such fee otherwise payable to such Defaulting Lender to the extent allocable to such Issuing Lender’s or Swingline Lender’s Fronting Exposure to such Defaulting Lender, and (z) not be required to pay the remaining amount of any such fee.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Reallocation of Participations to Reduce Fronting Exposure</w:t>
      </w:r>
      <w:r>
        <w:rPr>
          <w:rFonts w:ascii="Times New Roman;Times;Serif" w:hAnsi="Times New Roman;Times;Serif"/>
          <w:b w:val="false"/>
          <w:i w:val="false"/>
          <w:caps w:val="false"/>
          <w:smallCaps w:val="false"/>
          <w:sz w:val="20"/>
        </w:rPr>
        <w:t xml:space="preserve">. All or any part of such Defaulting Lender’s participation in LOC Obligations and Swingline Loans shall be reallocated among the Non-Defaulting Lenders in accordance with their respective Revolving Commitment Percentages (calculated without regard to such Defaulting Lender’s Revolving Commitment) but only to the extent that such reallocation does not cause the aggregate Revolving Credit Exposure of any Non-Defaulting Lender to exceed such Non-Defaulting Lender’s Revolving Commitment. Subject to </w:t>
      </w:r>
      <w:r>
        <w:rPr>
          <w:rFonts w:ascii="Times New Roman;Times;Serif" w:hAnsi="Times New Roman;Times;Serif"/>
          <w:b w:val="false"/>
          <w:i w:val="false"/>
          <w:caps w:val="false"/>
          <w:smallCaps w:val="false"/>
          <w:sz w:val="20"/>
          <w:u w:val="single"/>
        </w:rPr>
        <w:t>Section 9.25</w:t>
      </w:r>
      <w:r>
        <w:rPr>
          <w:rFonts w:ascii="Times New Roman;Times;Serif" w:hAnsi="Times New Roman;Times;Serif"/>
          <w:b w:val="false"/>
          <w:i w:val="false"/>
          <w:caps w:val="false"/>
          <w:smallCaps w:val="false"/>
          <w:sz w:val="20"/>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Cash Collateral, Repayment of Swingline Loans</w:t>
      </w:r>
      <w:r>
        <w:rPr>
          <w:rFonts w:ascii="Times New Roman;Times;Serif" w:hAnsi="Times New Roman;Times;Serif"/>
          <w:b w:val="false"/>
          <w:i w:val="false"/>
          <w:caps w:val="false"/>
          <w:smallCaps w:val="false"/>
          <w:sz w:val="20"/>
        </w:rPr>
        <w:t xml:space="preserve">. If the reallocation described in clause (iv) above cannot, or can only partially, be effected, the Borrowers shall, without prejudice to any right or remedy available to it hereunder or under law, (x)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prepay Swingline Loans in an amount equal to the Swingline Lender’s Fronting Exposure and (y)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Cash Collateralize the Issuing Lender’s Fronting Exposure in accordance with the procedures set forth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Defaulting Lender Cure</w:t>
      </w:r>
      <w:r>
        <w:rPr>
          <w:rFonts w:ascii="Times New Roman;Times;Serif" w:hAnsi="Times New Roman;Times;Serif"/>
          <w:b w:val="false"/>
          <w:i w:val="false"/>
          <w:caps w:val="false"/>
          <w:smallCaps w:val="false"/>
          <w:sz w:val="20"/>
        </w:rPr>
        <w:t xml:space="preserve">. If the Lead Borrower, the Administrative Agent, each Swingline Lender and each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Revolving Commitment Percentages (without giving effect to </w:t>
      </w:r>
      <w:r>
        <w:rPr>
          <w:rFonts w:ascii="Times New Roman;Times;Serif" w:hAnsi="Times New Roman;Times;Serif"/>
          <w:b w:val="false"/>
          <w:i w:val="false"/>
          <w:caps w:val="false"/>
          <w:smallCaps w:val="false"/>
          <w:sz w:val="20"/>
          <w:u w:val="single"/>
        </w:rPr>
        <w:t>Section 2.21(a)(iv)</w:t>
      </w:r>
      <w:r>
        <w:rPr>
          <w:rFonts w:ascii="Times New Roman;Times;Serif" w:hAnsi="Times New Roman;Times;Serif"/>
          <w:b w:val="false"/>
          <w:i w:val="false"/>
          <w:caps w:val="false"/>
          <w:smallCaps w:val="false"/>
          <w:sz w:val="20"/>
        </w:rPr>
        <w:t xml:space="preserve">), whereupon such Lender will cease to be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Borrowers while that Lender was a Defaulting Lender;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New Swingline Loans/Letters of Credit</w:t>
      </w:r>
      <w:r>
        <w:rPr>
          <w:rFonts w:ascii="Times New Roman;Times;Serif" w:hAnsi="Times New Roman;Times;Serif"/>
          <w:b w:val="false"/>
          <w:i w:val="false"/>
          <w:caps w:val="false"/>
          <w:smallCaps w:val="false"/>
          <w:sz w:val="20"/>
        </w:rPr>
        <w:t>. So long as any Lender is a Defaulting Lender, (i) the Swingline Lender shall not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2.22</w:t>
        <w:tab/>
      </w:r>
      <w:r>
        <w:rPr>
          <w:rFonts w:ascii="Times New Roman;Times;Serif" w:hAnsi="Times New Roman;Times;Serif"/>
          <w:b/>
          <w:i w:val="false"/>
          <w:caps w:val="false"/>
          <w:smallCaps w:val="false"/>
          <w:sz w:val="20"/>
        </w:rPr>
        <w:t>Incremental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Revolving Facility Increases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General Terms</w:t>
      </w:r>
      <w:r>
        <w:rPr>
          <w:rFonts w:ascii="Times New Roman;Times;Serif" w:hAnsi="Times New Roman;Times;Serif"/>
          <w:b w:val="false"/>
          <w:i w:val="false"/>
          <w:caps w:val="false"/>
          <w:smallCaps w:val="false"/>
          <w:sz w:val="20"/>
        </w:rPr>
        <w:t xml:space="preserve">. Subject to the terms and conditions set forth herein and notwithstanding any previous reduction in the Revolving Commitments or the Initial Term Loan Commitments, as provided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the Borrowers shall have the right, at any time and from time to time until the Maturity Date, to increase the Revolving Commitments (each such increase, a “</w:t>
      </w:r>
      <w:r>
        <w:rPr>
          <w:rFonts w:ascii="Times New Roman;Times;Serif" w:hAnsi="Times New Roman;Times;Serif"/>
          <w:b w:val="false"/>
          <w:i w:val="false"/>
          <w:caps w:val="false"/>
          <w:smallCaps w:val="false"/>
          <w:sz w:val="20"/>
          <w:u w:val="single"/>
        </w:rPr>
        <w:t>Revolving Facility Increase</w:t>
      </w:r>
      <w:r>
        <w:rPr>
          <w:rFonts w:ascii="Times New Roman;Times;Serif" w:hAnsi="Times New Roman;Times;Serif"/>
          <w:b w:val="false"/>
          <w:i w:val="false"/>
          <w:caps w:val="false"/>
          <w:smallCaps w:val="false"/>
          <w:sz w:val="20"/>
        </w:rPr>
        <w:t>”) by an aggregate principal amount not to exceed, when combined with the amount of any Incremental Term Facilities and Incremental Equivalent Debt, the Incremental Facility Increase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Terms and Conditions</w:t>
      </w:r>
      <w:r>
        <w:rPr>
          <w:rFonts w:ascii="Times New Roman;Times;Serif" w:hAnsi="Times New Roman;Times;Serif"/>
          <w:b w:val="false"/>
          <w:i w:val="false"/>
          <w:caps w:val="false"/>
          <w:smallCaps w:val="false"/>
          <w:sz w:val="20"/>
        </w:rPr>
        <w:t>. The following terms and conditions shall apply to any Revolving Facility Increase: (A) any Revolving Facility Increase shall be identical (including with respect to Applicable Margin other than with respect to upfront fees) to and pursuant to the same documentation applicable to the existing Revolving Commitments and Revolving Loans (other than the amendment evidencing such Revolving Facility Increase), (B) (i) if such Revolving Facility Increase is in connection with a Limited Condition Transaction, and if agreed by the Lenders providing such Revolving Facility Increase (any such Lender, an “</w:t>
      </w:r>
      <w:r>
        <w:rPr>
          <w:rFonts w:ascii="Times New Roman;Times;Serif" w:hAnsi="Times New Roman;Times;Serif"/>
          <w:b w:val="false"/>
          <w:i w:val="false"/>
          <w:caps w:val="false"/>
          <w:smallCaps w:val="false"/>
          <w:sz w:val="20"/>
          <w:u w:val="single"/>
        </w:rPr>
        <w:t>Incremental Revolving Lender</w:t>
      </w:r>
      <w:r>
        <w:rPr>
          <w:rFonts w:ascii="Times New Roman;Times;Serif" w:hAnsi="Times New Roman;Times;Serif"/>
          <w:b w:val="false"/>
          <w:i w:val="false"/>
          <w:caps w:val="false"/>
          <w:smallCaps w:val="false"/>
          <w:sz w:val="20"/>
        </w:rPr>
        <w:t xml:space="preserve">”), no Specified Event of Default shall exist immediately prior to or after giving effect to such Revolving Facility Increase or (ii) otherwise no Event of Default shall exist immediately prior to or after giving effect to such Revolving Facility Increase, (C) subject to customary “SunGard” limitations (to the extent agreed by the Incremental Revolving Lenders and to the extent such Revolving Facility Increase is in connection with a Limited Condition Transaction), each of the representations and warranties made by any Credit Party set forth in Article III hereof or in any other Credit Document shall be true and correct in all material respects (except that any representation and warranty that is qualified as to “materiality” or “Material Adverse Effect” shall be true and correct in all respects) on and as of the date of such Revolving Facility Increase (or, if incurred in connection with a Limited Condition Transaction, at the election of the Lead Borrower, on the date of the execution of the definitive documentation with respect to such Limited Condition Transaction) with the same effect as though made on and as of such date, except to the extent such representations and warranties expressly relate to an earlier date, in which case such representations and warranties shall be true and correct in all material respects (except that any representation and warranty that is qualified as to “materiality” or “Material Adverse Effect” shall be true and correct in all respects) as of such earlier date, (D) (i) any loans made pursuant to a Revolving Facility Increase shall constitute Obligations and will be secured and guaranteed with the other Obligations on a pari passu basis, (ii) any loans made pursuant to a Revolving Facility Increase shall not be secured by any lien on any asset of the Borrowers, any Guarantor or any of their respective subsidiaries that does not also secure the Loans and (iii) no Revolving Facility Increase may be guaranteed by any Person that is not a Guarantor, (E) any Incremental Revolving Lender shall be entitled to the same voting rights as the existing Lenders and shall be entitled to receive proceeds of prepayments on the same terms as the existing Revolving Lenders, (F) any such Revolving Facility Increase shall be in a minimum principal amount of $10,000,000 and integral multiples of $5,000,000 in excess thereof (or the remaining amount of the Revolving Facility Increase, if less), (G) the Borrowers shall execute a Revolving Loan Note in favor of any new Lender or any existing Lender whose Revolving Commitment is increased pursuant to this Section, in each case, if requested by such Lender, (H) subject to clauses (B) and (C) above, the conditions to Extensions of Credit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shall have been satisfied, (I) the Administrative Agent shall have received (1) upon request of the Administrative Agent, an opinion or opinions of counsel for the Credit Parties, addressed to the Administrative Agent and the Lenders, in form and substance reasonably acceptable to the Administrative Agent and substantially similar to the opinion delivered to the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Administrative Agent on the Closing Date, (2) any authorizing corporate documents as the Administrative Agent may reasonably request and (3) if applicable, a duly executed Notice of Borrowing, (J) the maturity date of any Revolving Facility Increase shall be no sooner than the Maturity Date, and (K) the Administrative Agent shall have received from the Lead Borrower an updated Compliance Certificate, in form and substance reasonably satisfactory to the Administrative Agent, demonstrating that, both immediately prior to and after giving effect to any such Revolving Facility Increase and any borrowings thereunder on the closing date for such Revolving Facility Increase on a Pro Forma Basis, the Borrowers will be in compliance with each of the Financial Covenants, (1) based on the financial statements most recently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(2) assuming all amounts thereunder are fully drawn</w:t>
      </w:r>
      <w:r>
        <w:rPr>
          <w:rFonts w:ascii="Times New Roman;Times;Serif" w:hAnsi="Times New Roman;Times;Serif"/>
          <w:b/>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Revolving Facility Increase</w:t>
      </w:r>
      <w:r>
        <w:rPr>
          <w:rFonts w:ascii="Times New Roman;Times;Serif" w:hAnsi="Times New Roman;Times;Serif"/>
          <w:b w:val="false"/>
          <w:i w:val="false"/>
          <w:caps w:val="false"/>
          <w:smallCaps w:val="false"/>
          <w:sz w:val="20"/>
        </w:rPr>
        <w:t xml:space="preserve">. In connection with the closing of any Revolving Facility Increase, the outstanding Revolving Loans and Participation Interests shall be reallocated by causing such fundings and repayments among the Lenders of Revolving Loans as necessary such that, after giving effect to such Revolving Facility Increase, each Lender will hold Revolving Loans and Participation Interests based on its Revolving Commitment Percentage (after giving effect to such Revolving Facility Increase);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reallocations and repayments shall not be subject to any processing and/or recordation fees and (ii) the Borrowers shall, jointly and severally, be responsible for any costs arising under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resulting from such reallocation and repayments.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Incremental Term Facilities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General Terms</w:t>
      </w:r>
      <w:r>
        <w:rPr>
          <w:rFonts w:ascii="Times New Roman;Times;Serif" w:hAnsi="Times New Roman;Times;Serif"/>
          <w:b w:val="false"/>
          <w:i w:val="false"/>
          <w:caps w:val="false"/>
          <w:smallCaps w:val="false"/>
          <w:sz w:val="20"/>
        </w:rPr>
        <w:t>. Subject to the terms and conditions set forth herein, the Borrowers shall have the right, at any time and from time to time until the Maturity Date, to incur additional Indebtedness under this Agreement pursuant to one or more tranches of term loans (each an “</w:t>
      </w:r>
      <w:r>
        <w:rPr>
          <w:rFonts w:ascii="Times New Roman;Times;Serif" w:hAnsi="Times New Roman;Times;Serif"/>
          <w:b w:val="false"/>
          <w:i w:val="false"/>
          <w:caps w:val="false"/>
          <w:smallCaps w:val="false"/>
          <w:sz w:val="20"/>
          <w:u w:val="single"/>
        </w:rPr>
        <w:t>Incremental Term Facility</w:t>
      </w:r>
      <w:r>
        <w:rPr>
          <w:rFonts w:ascii="Times New Roman;Times;Serif" w:hAnsi="Times New Roman;Times;Serif"/>
          <w:b w:val="false"/>
          <w:i w:val="false"/>
          <w:caps w:val="false"/>
          <w:smallCaps w:val="false"/>
          <w:sz w:val="20"/>
        </w:rPr>
        <w:t>” and together with any Revolving Facility Increase, “</w:t>
      </w:r>
      <w:r>
        <w:rPr>
          <w:rFonts w:ascii="Times New Roman;Times;Serif" w:hAnsi="Times New Roman;Times;Serif"/>
          <w:b w:val="false"/>
          <w:i w:val="false"/>
          <w:caps w:val="false"/>
          <w:smallCaps w:val="false"/>
          <w:sz w:val="20"/>
          <w:u w:val="single"/>
        </w:rPr>
        <w:t>Incremental Facilities</w:t>
      </w:r>
      <w:r>
        <w:rPr>
          <w:rFonts w:ascii="Times New Roman;Times;Serif" w:hAnsi="Times New Roman;Times;Serif"/>
          <w:b w:val="false"/>
          <w:i w:val="false"/>
          <w:caps w:val="false"/>
          <w:smallCaps w:val="false"/>
          <w:sz w:val="20"/>
        </w:rPr>
        <w:t>”) in an aggregate amount not to exceed, when combined with the amount of any Revolving Facility Increases, the Incremental Facility Increase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Terms and Conditions</w:t>
      </w:r>
      <w:r>
        <w:rPr>
          <w:rFonts w:ascii="Times New Roman;Times;Serif" w:hAnsi="Times New Roman;Times;Serif"/>
          <w:b w:val="false"/>
          <w:i w:val="false"/>
          <w:caps w:val="false"/>
          <w:smallCaps w:val="false"/>
          <w:sz w:val="20"/>
        </w:rPr>
        <w:t>. The following terms and conditions shall apply to any Incremental Term Facility: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(x) if agreed by the Lenders providing the applicable Incremental Term Facility (any such Lender, an “</w:t>
      </w:r>
      <w:r>
        <w:rPr>
          <w:rFonts w:ascii="Times New Roman;Times;Serif" w:hAnsi="Times New Roman;Times;Serif"/>
          <w:b w:val="false"/>
          <w:i w:val="false"/>
          <w:caps w:val="false"/>
          <w:smallCaps w:val="false"/>
          <w:sz w:val="20"/>
          <w:u w:val="single"/>
        </w:rPr>
        <w:t>Incremental Term Lender</w:t>
      </w:r>
      <w:r>
        <w:rPr>
          <w:rFonts w:ascii="Times New Roman;Times;Serif" w:hAnsi="Times New Roman;Times;Serif"/>
          <w:b w:val="false"/>
          <w:i w:val="false"/>
          <w:caps w:val="false"/>
          <w:smallCaps w:val="false"/>
          <w:sz w:val="20"/>
        </w:rPr>
        <w:t>”) and to the extent the proceeds of the applicable Incremental Term Facility are being used to finance a Limited Condition Transaction, no Specified Event of Default shall exist immediately prior to or after giving effect to such Incremental Term Facility or (y) otherwise, no Event of Default shall exist immediately prior to or after giving effect to such Incremental Term Facility,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customary “SunGard” limitations (to the extent agreed to by the Incremental Term Lenders and to the extent the proceeds of the applicable Incremental Term Facility are being used to finance a Limited Condition Transaction), each of the representations and warranties made by any Credit Party set forth in Article III hereof or in any other Credit Document shall be true and correct in all material respects (except that any representation and warranty that is qualified as to “materiality” or “Material Adverse Effect” shall be true and correct in all respects) on and as of the date of such credit extension (or, if incurred in connection with a Limited Condition Transaction, at the election of the Lead Borrower, on the date of the execution of the definitive documentation with respect to such Limited Condition Transaction) with the same effect as though made on and as of such date, except to the extent such representations and warranties expressly relate to an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date, in which case such representations and warranties shall be true and correct in all material respects (except that any representation and warranty that is qualified as to “materiality” or “Material Adverse Effect” shall be true and correct in all respects) as of such earlier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(x) any loans made pursuant to an Incremental Term Facility shall constitute Obligations and will be secured and guaranteed with the other Obligations on a pari passu basis, (y) any loans made pursuant to an Incremental Term Facility shall not be secured by any lien on any asset of any Borrower, any Guarantor or any of their respective subsidiaries that does not also secure the Loans and (z) no Incremental Facility may be guaranteed by any Person that is not a Guarantor,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terms and documentation in respect of any Incremental Term Facility, to the extent not consistent with the Initial Term Loan Facility, shall be on terms and pursuant to documentation to be determined by the Lead Borrower and the lenders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terms and documentation are not substantially identical with the Initial Term Loans (except to the extent permitted by </w:t>
      </w:r>
      <w:r>
        <w:rPr>
          <w:rFonts w:ascii="Times New Roman;Times;Serif" w:hAnsi="Times New Roman;Times;Serif"/>
          <w:b w:val="false"/>
          <w:i w:val="false"/>
          <w:caps w:val="false"/>
          <w:smallCaps w:val="false"/>
          <w:sz w:val="20"/>
          <w:u w:val="single"/>
        </w:rPr>
        <w:t>Section 2.22(b)(ii)(E)(2)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Sections 2.22(b)(ii)(J)</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2.22(c)</w:t>
      </w:r>
      <w:r>
        <w:rPr>
          <w:rFonts w:ascii="Times New Roman;Times;Serif" w:hAnsi="Times New Roman;Times;Serif"/>
          <w:b w:val="false"/>
          <w:i w:val="false"/>
          <w:caps w:val="false"/>
          <w:smallCaps w:val="false"/>
          <w:sz w:val="20"/>
        </w:rPr>
        <w:t xml:space="preserve"> and other than the amendment effectuating such Incremental Term Facility), such terms and documentation shall be no more restrictive to the Lead Borrower and its Restricted Subsidiaries, taken as a whole, than the terms applicable to the existing Loans or otherwise be reasonably satisfactory to the Administrative Agent (except to the extent (1) such terms are offered to be conformed (or added) to this Agreement for the benefit of the Initial Term Loan Lenders pursuant to an amendment or (2) such terms are applicable solely to periods after the Latest Maturity Date applicable to the Initial Term Loan existing at the time of the incurrence of such Incremental Term Facility);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to the extent applicable and reasonably requested by the Administrative Agent, such Incremental Term Facility shall be subject to customary intercreditor documentation reasonably satisfactory to the Administrative Agent and the Lead Borrower,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Incremental Term Lender (1) shall be entitled to the same voting rights as the existing Lenders and (2) may participate on a pro rata basis or a less than pro rata basis (but not greater than pro rata basis) than the Initial Term Loans in any voluntary or mandatory prepayment or commitment reduction hereunder,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such Incremental Term Facility shall be in a minimum principal amount of $10,000,000 and integral multiples of $5,000,000 in excess thereof (or the remaining amount of the Incremental Facility Increase Amount, if less),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proceeds of any such Incremental Term Facility will be used for the purposes set forth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Borrowers shall execute a promissory note in favor of any new Lender or any existing Lender, in each case, if requested by such Lender,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clauses (A) and (B) above, the conditions to Extensions of Credit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shall have been satisfied,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Incremental Term Facility shall have a maturity date no earlier than the Term Maturity Date of the Initial Term Loans, and shall have a Weighted Average Life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Maturity no shorter than the then remaining Weighted Average Life to Maturity of the Initial Term Loans,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Incremental Term Facility shall have mandatory prepayment provisions no more favorable to the new Lenders than the prepayment provisions applicable to the Initial Term Loan Facility,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Administrative Agent shall have received (1) upon request of the Administrative Agent, an opinion or opinions of counsel for the Credit Parties, addressed to the Administrative Agent and the Lenders, in form and substance reasonably acceptable to the Administrative Agent and substantially similar to the opinion delivered to the Administrative Agent on the Closing Date, (2) any authorizing corporate documents as the Administrative Agent may reasonably request and (3) if applicable, a duly executed Notice of Borrowing,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Administrative Agent shall have received from the Lead Borrower an updated Compliance Certificate, in form and substance reasonably satisfactory to the Administrative Agent, demonstrating that, both immediately prior to and after giving effect to any such Incremental Term Facilities on the closing date for such Incremental Term Facilities on a Pro Forma Basis, the Borrowers will be in compliance with each of the Financial Covenants set forth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based on the financial statements most recently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Lead Borrower’s discretion, an Incremental Facility or Incremental Equivalent Debt may be incurred in reliance of either the Incremental Starter Basket or the Incremental Unlimited Prong or may be incurred concurrently in reliance of the Incremental Starter Basket and the Incremental Unlimited Prong, and proceeds from any such incurrence in reliance of the Incremental Starter Basket and the Incremental Unlimited Prong may be utilized in a single transaction by first calculating the incurrence under the Incremental Unlimited Prong and then calculating the incurrence under the Incremental Starter Basket and for the avoidance of doubt, any such incurrence under the Incremental Starter Basket shall be disregarded for purposes of the pro forma calculation of the First Lien Net Leverage Ratio and Total Net Leverage Ratio for purposes of effectuating the incurrence in reliance of the Incremental Unlimited Prong in such single transaction (and the Lead Borrower may classify and later reclassify indebtedness incurred under an Incremental Facility or Incremental Equivalent Debt as incurred under the Incremental Starter Basket or the Incremental Unlimited Prong, or both, on the date of incurrence and thereafter, to the extent permitted on the date of classification (or the date of any such reclassification)).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Applicable Margin and Yield</w:t>
      </w:r>
      <w:r>
        <w:rPr>
          <w:rFonts w:ascii="Times New Roman;Times;Serif" w:hAnsi="Times New Roman;Times;Serif"/>
          <w:b w:val="false"/>
          <w:i w:val="false"/>
          <w:caps w:val="false"/>
          <w:smallCaps w:val="false"/>
          <w:sz w:val="20"/>
        </w:rPr>
        <w:t>. The Applicable Margin and any other components of yield on any Incremental Term Facility shall be determined by the Lead Borrower and the Lenders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Participation</w:t>
      </w:r>
      <w:r>
        <w:rPr>
          <w:rFonts w:ascii="Times New Roman;Times;Serif" w:hAnsi="Times New Roman;Times;Serif"/>
          <w:b w:val="false"/>
          <w:i w:val="false"/>
          <w:caps w:val="false"/>
          <w:smallCaps w:val="false"/>
          <w:sz w:val="20"/>
        </w:rPr>
        <w:t xml:space="preserve">. No Lender shall have any obligation to provide all or any portion of any such Incremental Term Facility or Revolving Facility Increase. The Borrowers may invite other banks, financial institutions and investment funds reasonably acceptable to the Administrative Agent (such consent not to be unreasonably withheld or delayed) to join this Agreement as Lenders hereunder for any portion of such Incremental Term Facility or Revolving Facility Increase;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other banks, financial institutions and investment funds shall enter into such lender joinder agreements to give effect thereto as the Administrative Agent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The Administrative Agent is authorized to enter into, on behalf of the Lenders, any amendment (any such amendment, an “</w:t>
      </w:r>
      <w:r>
        <w:rPr>
          <w:rFonts w:ascii="Times New Roman;Times;Serif" w:hAnsi="Times New Roman;Times;Serif"/>
          <w:b w:val="false"/>
          <w:i w:val="false"/>
          <w:caps w:val="false"/>
          <w:smallCaps w:val="false"/>
          <w:sz w:val="20"/>
          <w:u w:val="single"/>
        </w:rPr>
        <w:t>Incremental Facility Amendment</w:t>
      </w:r>
      <w:r>
        <w:rPr>
          <w:rFonts w:ascii="Times New Roman;Times;Serif" w:hAnsi="Times New Roman;Times;Serif"/>
          <w:b w:val="false"/>
          <w:i w:val="false"/>
          <w:caps w:val="false"/>
          <w:smallCaps w:val="false"/>
          <w:sz w:val="20"/>
        </w:rPr>
        <w: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other Credit Document as may be necessary to incorporate the terms of any such Incremental Term Facility or Revolving Facility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 on Amount</w:t>
      </w:r>
      <w:r>
        <w:rPr>
          <w:rFonts w:ascii="Times New Roman;Times;Serif" w:hAnsi="Times New Roman;Times;Serif"/>
          <w:b w:val="false"/>
          <w:i w:val="false"/>
          <w:caps w:val="false"/>
          <w:smallCaps w:val="false"/>
          <w:sz w:val="20"/>
        </w:rPr>
        <w:t>. The aggregate principal amount of all Incremental Term Facilities, Revolving Facility Increases and Incremental Equivalent Debt shall not exceed the sum of (1) the greater of (i) $180.0 million and (ii) 100% of Consolidated EBITDA for the most recently ended Test Period calculated on a Pro Forma Basis (the “</w:t>
      </w:r>
      <w:r>
        <w:rPr>
          <w:rFonts w:ascii="Times New Roman;Times;Serif" w:hAnsi="Times New Roman;Times;Serif"/>
          <w:b w:val="false"/>
          <w:i w:val="false"/>
          <w:caps w:val="false"/>
          <w:smallCaps w:val="false"/>
          <w:sz w:val="20"/>
          <w:u w:val="single"/>
        </w:rPr>
        <w:t>Incremental Starter Basket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an amount such that, after giving effect to any such Incremental Term Facilities or Revolving Facility Increases on a Pro Forma Basis (and, in the case of any Revolving Facility Increase and the Initial Term Loan Commitments, assuming all amounts thereunder are fully drawn and without netting the proceeds of such Incremental Facility or Incremental Equivalent Debt in the calculation of the First Lien Net Leverage Ratio), the First Lien Net Leverage Ratio shall not be greater than 3.50:1.00 (calculated on a Pro Forma Basis) or, solely in the case of Incremental Equivalent Debt that is unsecured or secured by Liens on the Collateral that are subordinated to the Liens securing the Obligations, the Total Net Leverage Ratio shall not be greater than 4.50:1.00 (calculated on a Pro Forma Basis) (the “</w:t>
      </w:r>
      <w:r>
        <w:rPr>
          <w:rFonts w:ascii="Times New Roman;Times;Serif" w:hAnsi="Times New Roman;Times;Serif"/>
          <w:b w:val="false"/>
          <w:i w:val="false"/>
          <w:caps w:val="false"/>
          <w:smallCaps w:val="false"/>
          <w:sz w:val="20"/>
          <w:u w:val="single"/>
        </w:rPr>
        <w:t>Incremental Unlimited Prong</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Incremental Facility Increase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Incremental Equivalent Debt</w:t>
      </w:r>
      <w:r>
        <w:rPr>
          <w:rFonts w:ascii="Times New Roman;Times;Serif" w:hAnsi="Times New Roman;Times;Serif"/>
          <w:b w:val="false"/>
          <w:i w:val="false"/>
          <w:caps w:val="false"/>
          <w:smallCaps w:val="false"/>
          <w:sz w:val="20"/>
        </w:rPr>
        <w:t xml:space="preserve">. In addition, the Borrowers may utilize any portion of the Incremental Facility Increase Amount in effect at such time to issue or incur Indebtedness consisting of term loans (whether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subordinated in right of payment to the Obligations, unsecured or secured by Liens ranking junior or subordinate to the Liens securing the Obligations) or notes (whether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subordinated in right of payment to the Obligations, unsecured or secured by Liens ranking junior or subordinate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Liens securing the Obligations) or any bridge facility, in each case in respect of the issuance of notes, issued in (A) a public offering, Rule 144A and/or other private placement and/or (B) a bridge facility or a syndicated loan financing or otherwise in lieu of an Incremental Term Facility (“</w:t>
      </w:r>
      <w:r>
        <w:rPr>
          <w:rFonts w:ascii="Times New Roman;Times;Serif" w:hAnsi="Times New Roman;Times;Serif"/>
          <w:b w:val="false"/>
          <w:i w:val="false"/>
          <w:caps w:val="false"/>
          <w:smallCaps w:val="false"/>
          <w:sz w:val="20"/>
          <w:u w:val="single"/>
        </w:rPr>
        <w:t>Incremental Equivalent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Incremental Equivalent Debt (x) to the extent such Incremental Equivalent Debt is pari passu to the Initial Term Loans in right of payment and with respect to security, does not mature earlier than the Latest Maturity Date of the existing Term Loans, (y) to the extent such Incremental Equivalent Debt is junior to the Initial Term Loans in right of payment or with respect to security (including by being unsecured), does not mature earlier than 91 days following the Latest Maturity Date applicable to the Initial Term Loans, and (z) does not have a Weighted Average Life to Maturity shorter than the Weighted Average Life to Maturity applicable to the existing Term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requirement of this subclause (i) shall not apply to any Incremental Equivalent Debt consisting of a customary bridge facility, so long as the long-term indebtedness into which such customary bridge facility is to be converted satisfies this subclause (i)), (ii) such Incremental Equivalent Debt shall not be guaranteed by any Person that is not a Credit Party (unless such Person shall substantially concurrently become a Credit Party hereunder pursuant to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(iii) if secured, such Incremental Equivalent Debt (x) is not secured by any assets not securing the Loans (unless such assets shall substantially concurrently become a part of the Collateral) and (y) is subject to a customary intercreditor agreement reasonably satisfactory to the Administrative Agent and the Lead Borrower, (iv) no Event of Default shall have occurred and be continuing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solely with respect to any Incremental Equivalent Debt incurred in connection with a Limited Condition Transaction, (x) no Event of Default shall exist at the time of execution of the definitive documentation for such Limited Condition Transaction and (y) no Specified Event of Default shall exist at the time that such Incremental Equivalent Debt is effective hereunder), (v) any Incremental Equivalent Debt that is (x)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Initial Term Loans in right of payment and with respect to security may provide for the ability to participate (1) on a pro rata basis, less than pro rata basis or greater than pro rata basis in any voluntary prepayments and (2) on a pro rata basis or less than pro rata basis (or greater than pro rata basis with respect to prepayments constituting permitted refinancings) in any mandatory prepayments, in each case, of the Term Loans and (y) junior to the Initial Term Loans in right of payment or with respect to security may provide for the ability to participate on a less than pro rata basis in any voluntary and/or mandatory prepayments of the Term Loans, but shall not be on a pro rata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greater than pro rata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unsecured Incremental Equivalent Debt shall not share in any voluntary or mandatory prepayments of the Term Loans and (vi) the other terms and conditions (excluding pricing, interest rate margins, interest rate floors, discounts, fees, premiums, maturity and prepayment or redemption terms), if not substantially consistent with the terms of the existing Term Loans, are as otherwise reasonably satisfactory to the Administrative Agent (it being understood that (A) terms not substantially consistent with the existing Term Loans that are applicable only after the Latest Maturity Date at such time will be deemed to be satisfactory to the Administrative Agent, (B) terms contained in such Incremental Equivalent Debt that are, taken as a whole, more favorable to the lenders or the agent of such Incremental Equivalent Debt and are substantially concurrently conformed (or added) to the Credit Documents for the benefit of the lenders under the existing Term Loans or the Administrative Agent, as applicable, will be deemed to be satisfactory to the Administrative Agent and (C) terms contained in such Incremental Equivalent Debt that reflect then current market terms and conditions (taken as a whole) at the time of incurrence or issuance (as determined by the Lead Borrower in good faith) will be deemed to be satisfactory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that any financial maintenance covenant is added for the benefit of such Incremental Equivalent Debt, no consent shall be required from the Administrative Agent or any of the Lenders if such financial maintenance covenant is either (a) also added for the benefit of the Lenders under the Credit Documents or (b) only applicable after the Latest Maturity Date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shall supersede any provisions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2.23</w:t>
        <w:tab/>
      </w:r>
      <w:r>
        <w:rPr>
          <w:rFonts w:ascii="Times New Roman;Times;Serif" w:hAnsi="Times New Roman;Times;Serif"/>
          <w:b/>
          <w:i w:val="false"/>
          <w:caps w:val="false"/>
          <w:smallCaps w:val="false"/>
          <w:sz w:val="20"/>
        </w:rPr>
        <w:t>Refinancing Amendments; Maturity Extension.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any time after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Event of Default has occurred and is continuing or would result therefrom, the Borrowers may obtain, from any Lender and/or any Additional Lender, Credit Agreement Refinancing Indebtedness in respect of (i) all or any portion of the Term Loans then outstanding under this Agreement or (ii) all or any portion of the Revolving Loans (or unused Revolving Commitments) under this Agreement, in the form of (x) Other Term Loans or Other Term Commitments or (y) Other Revolving Loans or Other Revolving Commitments, as the case may be, in each case pursuant to a Refinancing Amendment. Each Class of Credit Agreement Refinancing Indebtedness incurred under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shall be in an aggregate principal amount that is (x) not less than $10.0 million in the case of Other Term Loans or $5.0 million in the case of Other Revolving Loans and (y) an integral multiple of $1.0 million in excess thereof (unless such amount represents the total outstanding amount of the Refinanced Debt). Any Refinancing Amendment may provide for the issuance of Letters of Credit for the account of the Borrowers pursuant to any Other Revolving Commitments established thereby, in each case on terms substantially equivalent to the terms applicable to Letters of Credit under the Revolving Commitments.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Commitments). Any Refinancing Amendment may, without the consent of any other Lenders, effect such amendments to this Agreement and the other Credit Documents as may be necessary or appropriate, in the reasonable opinion of the Administrative Agent and the Lead Borrower, to effect the provisions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no such Refinancing Amendment shall amend, modify or otherwise affect the rights or duties of any Issuing Lender or the Swingline Lender without the prior written consent of such Issuing Lender or the Swingline Lender, as applicable. In addition, if so provided in the relevant Refinancing Amendment and with the consent of each Issuing Lender, participations in Letters of Credit expiring on or after the Revolving Maturity Date shall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reallocated from Lenders holding Revolving Commitments to Lenders holding extended revolving commitments in accordance with the terms of such Refinancing Amendment;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To the extent reasonably requested by the Administrative Agent, the Lead Borrower shall deliver to the Administrative Agent, together with the applicable Refinancing Amendment, (A) documents, opinions and certificates of the type referred to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4.1(g) </w:t>
      </w:r>
      <w:r>
        <w:rPr>
          <w:rFonts w:ascii="Times New Roman;Times;Serif" w:hAnsi="Times New Roman;Times;Serif"/>
          <w:b w:val="false"/>
          <w:i w:val="false"/>
          <w:caps w:val="false"/>
          <w:smallCaps w:val="false"/>
          <w:sz w:val="20"/>
        </w:rPr>
        <w:t>and (B) reaffirmation agreements and/or such amendments to the Security Documents as may be reasonably requested by the Administrative Agent in order to ensure that such Lenders are provided with the benefit of the applicable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Extension of Term Loans; Extension of Revolving Loans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Extension of Term Loans</w:t>
      </w:r>
      <w:r>
        <w:rPr>
          <w:rFonts w:ascii="Times New Roman;Times;Serif" w:hAnsi="Times New Roman;Times;Serif"/>
          <w:b w:val="false"/>
          <w:i w:val="false"/>
          <w:caps w:val="false"/>
          <w:smallCaps w:val="false"/>
          <w:sz w:val="20"/>
        </w:rPr>
        <w:t>. The Borrowers may at any time and from time to time request that all or a portion of the Term Loans of a given Class (each, an “</w:t>
      </w:r>
      <w:r>
        <w:rPr>
          <w:rFonts w:ascii="Times New Roman;Times;Serif" w:hAnsi="Times New Roman;Times;Serif"/>
          <w:b w:val="false"/>
          <w:i w:val="false"/>
          <w:caps w:val="false"/>
          <w:smallCaps w:val="false"/>
          <w:sz w:val="20"/>
          <w:u w:val="single"/>
        </w:rPr>
        <w:t>Existing Term Loan Borrowing</w:t>
      </w:r>
      <w:r>
        <w:rPr>
          <w:rFonts w:ascii="Times New Roman;Times;Serif" w:hAnsi="Times New Roman;Times;Serif"/>
          <w:b w:val="false"/>
          <w:i w:val="false"/>
          <w:caps w:val="false"/>
          <w:smallCaps w:val="false"/>
          <w:sz w:val="20"/>
        </w:rPr>
        <w:t>”) be amended to extend the scheduled Term Maturity Date(s) with respect to all or a portion of any principal amount of such Term Loans (any such Term Loans which have been so amended, “</w:t>
      </w:r>
      <w:r>
        <w:rPr>
          <w:rFonts w:ascii="Times New Roman;Times;Serif" w:hAnsi="Times New Roman;Times;Serif"/>
          <w:b w:val="false"/>
          <w:i w:val="false"/>
          <w:caps w:val="false"/>
          <w:smallCaps w:val="false"/>
          <w:sz w:val="20"/>
          <w:u w:val="single"/>
        </w:rPr>
        <w:t>Extended Term Loans</w:t>
      </w:r>
      <w:r>
        <w:rPr>
          <w:rFonts w:ascii="Times New Roman;Times;Serif" w:hAnsi="Times New Roman;Times;Serif"/>
          <w:b w:val="false"/>
          <w:i w:val="false"/>
          <w:caps w:val="false"/>
          <w:smallCaps w:val="false"/>
          <w:sz w:val="20"/>
        </w:rPr>
        <w:t xml:space="preserve">”) and to provide for other terms consistent with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In order to establish any Extended Term Loans, the Lead Borrower shall provide a notice to the Administrative Agent (who shall provide a copy of such notice to each of the Lenders under the applicable Existing Term Loan Borrowing) (each, a “</w:t>
      </w:r>
      <w:r>
        <w:rPr>
          <w:rFonts w:ascii="Times New Roman;Times;Serif" w:hAnsi="Times New Roman;Times;Serif"/>
          <w:b w:val="false"/>
          <w:i w:val="false"/>
          <w:caps w:val="false"/>
          <w:smallCaps w:val="false"/>
          <w:sz w:val="20"/>
          <w:u w:val="single"/>
        </w:rPr>
        <w:t>Term Loan Extension Request</w:t>
      </w:r>
      <w:r>
        <w:rPr>
          <w:rFonts w:ascii="Times New Roman;Times;Serif" w:hAnsi="Times New Roman;Times;Serif"/>
          <w:b w:val="false"/>
          <w:i w:val="false"/>
          <w:caps w:val="false"/>
          <w:smallCaps w:val="false"/>
          <w:sz w:val="20"/>
        </w:rPr>
        <w:t xml:space="preserve">”) setting forth the proposed terms of the Extended Term Loans to be established, which shall (x) be identical as offered to each Lender under such Existing Term Loan Borrowing (including as to the proposed interest rates and fees payable, but excluding any arrangement, structuring or other similar fees payable in connection therewith that are not generally shared with all relevant Lenders) and offered pro rata to each Lender under such Existing Term Loan Borrowing and (y) be identical to the Term Loans under the Existing Term Loan Borrowing from which such Extended Term Loans are intended to be amended, except that: (i) all or any of the scheduled amortization payments of principal of the Extended Term Loans may be delayed to later dates than the scheduled amortization payments of principal of the Term Loans of such Existing Term Loan Borrowing, to the extent provided in the applicable Extension Amendment;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at no time shall there be Classes of Extended Term Loans and Refinancing Term Facilities hereunder which have more than five (5) different Maturity Dates; (ii) the all-in yield with respect to the Extended Term Loans (whether in the form of interest rate margin, upfront fees, original issue discount or otherwise) may be different than the all-in yield for the Term Loans of such Existing Term Loan Borrowing,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call protection as may be agreed by the Lead Borrower and the Lenders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Extended Term Loans may be optionally prepaid prior to the Maturity Date of the Initial Term Loans, unless such optional prepayment is accompanied by a pro rata optional prepayment of the Initial Term Loans;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(A) no Event of Default shall have occurred and be continuing at the time a Term Loan Extension Request is delivered to Lenders, (B) such Extended Term Loans of any given Term Loan Extension Series at the time of establishment thereof do not mature earlier than the Maturity Date of the Existing Term Loan Borrowing, (C) such Extended Term Loans of any given Term Loan Extension Series at the time of establishment thereof do not have a Weighted Average Life to Maturity shorter than the Weighted Average Life to Maturity applicable to the Existing Term Loan Borrowing, (D) all documentation in respect of such Extension Amendment shall be consistent with the foregoing and (E) any Extended Term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Loans that are (x)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 xml:space="preserve">with the Initial Term Loans in right of payment and with respect to security may provide for the ability to participate (1) on a pro rata basis, less than pro rata basis or greater than pro rata basis in any voluntary prepayments and (2) on a pro rata basis or less than pro rata basis (or greater than pro rata basis with respect to prepayments constituting permitted refinancings) in any mandatory prepayments, in each case, of the Term Loans and (y) junior to the Initial Term Loans in right of payment or with respect to security may provide for the ability to participate on a less than pro rata basis in any mandatory prepayments of the Term Loans, but shall not be on a pro rata or greater than pro rata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unsecured Extended Term Loans shall not share in any mandatory prepayments of the Term Loans. Any Extended Term Loans amended pursuant to any Term Loan Extension Request shall be designated a series (each, a “</w:t>
      </w:r>
      <w:r>
        <w:rPr>
          <w:rFonts w:ascii="Times New Roman;Times;Serif" w:hAnsi="Times New Roman;Times;Serif"/>
          <w:b w:val="false"/>
          <w:i w:val="false"/>
          <w:caps w:val="false"/>
          <w:smallCaps w:val="false"/>
          <w:sz w:val="20"/>
          <w:u w:val="single"/>
        </w:rPr>
        <w:t>Term Loan Extension Series</w:t>
      </w:r>
      <w:r>
        <w:rPr>
          <w:rFonts w:ascii="Times New Roman;Times;Serif" w:hAnsi="Times New Roman;Times;Serif"/>
          <w:b w:val="false"/>
          <w:i w:val="false"/>
          <w:caps w:val="false"/>
          <w:smallCaps w:val="false"/>
          <w:sz w:val="20"/>
        </w:rPr>
        <w:t xml:space="preserve">”) of Extended Term Loans for all purposes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Extended Term Loans amended from an Existing Term Loan Borrowing may, to the extent provided in the applicable Extension Amendment, be designated as an increase in any previously established Term Loan Extension Series with respect to such Existing Term Loan Borrowing (in which case scheduled amortization with respect thereto, if any, shall be proportionately increased). Each request for a Term Loan Extension Series of Extended Term Loans proposed to be incurred under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shall be in an aggregate principal amount that is not less than $10.0 million (it being understood that the actual principal amount thereof provided by the applicable Lenders may be lower than such minimum amount) and the Lead Borrower may impose an Extension Minimum Condition with respect to any Term Loan Extension Request, which may be waived by the Lead Borrower in its sole discretion.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Extension of Revolving Commitments</w:t>
      </w:r>
      <w:r>
        <w:rPr>
          <w:rFonts w:ascii="Times New Roman;Times;Serif" w:hAnsi="Times New Roman;Times;Serif"/>
          <w:b w:val="false"/>
          <w:i w:val="false"/>
          <w:caps w:val="false"/>
          <w:smallCaps w:val="false"/>
          <w:sz w:val="20"/>
        </w:rPr>
        <w:t>. The Borrowers may at any time and from time to time request that all or a portion of the Revolving Commitments of a given Class (each, an “</w:t>
      </w:r>
      <w:r>
        <w:rPr>
          <w:rFonts w:ascii="Times New Roman;Times;Serif" w:hAnsi="Times New Roman;Times;Serif"/>
          <w:b w:val="false"/>
          <w:i w:val="false"/>
          <w:caps w:val="false"/>
          <w:smallCaps w:val="false"/>
          <w:sz w:val="20"/>
          <w:u w:val="single"/>
        </w:rPr>
        <w:t>Existing Revolver Borrowing</w:t>
      </w:r>
      <w:r>
        <w:rPr>
          <w:rFonts w:ascii="Times New Roman;Times;Serif" w:hAnsi="Times New Roman;Times;Serif"/>
          <w:b w:val="false"/>
          <w:i w:val="false"/>
          <w:caps w:val="false"/>
          <w:smallCaps w:val="false"/>
          <w:sz w:val="20"/>
        </w:rPr>
        <w:t>”) be amended to extend the scheduled Revolving Maturity Date(s) with respect to all or a portion of any principal amount of such Revolving Commitments (any such Revolving Commitments which have been so amended, “</w:t>
      </w:r>
      <w:r>
        <w:rPr>
          <w:rFonts w:ascii="Times New Roman;Times;Serif" w:hAnsi="Times New Roman;Times;Serif"/>
          <w:b w:val="false"/>
          <w:i w:val="false"/>
          <w:caps w:val="false"/>
          <w:smallCaps w:val="false"/>
          <w:sz w:val="20"/>
          <w:u w:val="single"/>
        </w:rPr>
        <w:t>Extended Revolving Commitments</w:t>
      </w:r>
      <w:r>
        <w:rPr>
          <w:rFonts w:ascii="Times New Roman;Times;Serif" w:hAnsi="Times New Roman;Times;Serif"/>
          <w:b w:val="false"/>
          <w:i w:val="false"/>
          <w:caps w:val="false"/>
          <w:smallCaps w:val="false"/>
          <w:sz w:val="20"/>
        </w:rPr>
        <w:t>”, and any Loans made pursuant thereto, “</w:t>
      </w:r>
      <w:r>
        <w:rPr>
          <w:rFonts w:ascii="Times New Roman;Times;Serif" w:hAnsi="Times New Roman;Times;Serif"/>
          <w:b w:val="false"/>
          <w:i w:val="false"/>
          <w:caps w:val="false"/>
          <w:smallCaps w:val="false"/>
          <w:sz w:val="20"/>
          <w:u w:val="single"/>
        </w:rPr>
        <w:t>Extended Revolving Loans</w:t>
      </w:r>
      <w:r>
        <w:rPr>
          <w:rFonts w:ascii="Times New Roman;Times;Serif" w:hAnsi="Times New Roman;Times;Serif"/>
          <w:b w:val="false"/>
          <w:i w:val="false"/>
          <w:caps w:val="false"/>
          <w:smallCaps w:val="false"/>
          <w:sz w:val="20"/>
        </w:rPr>
        <w:t>” and, together with the Extended Term Loans, the “</w:t>
      </w:r>
      <w:r>
        <w:rPr>
          <w:rFonts w:ascii="Times New Roman;Times;Serif" w:hAnsi="Times New Roman;Times;Serif"/>
          <w:b w:val="false"/>
          <w:i w:val="false"/>
          <w:caps w:val="false"/>
          <w:smallCaps w:val="false"/>
          <w:sz w:val="20"/>
          <w:u w:val="single"/>
        </w:rPr>
        <w:t>Extended Loans</w:t>
      </w:r>
      <w:r>
        <w:rPr>
          <w:rFonts w:ascii="Times New Roman;Times;Serif" w:hAnsi="Times New Roman;Times;Serif"/>
          <w:b w:val="false"/>
          <w:i w:val="false"/>
          <w:caps w:val="false"/>
          <w:smallCaps w:val="false"/>
          <w:sz w:val="20"/>
        </w:rPr>
        <w:t xml:space="preserve">”) and to provide for other terms consistent with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In order to establish any Extended Revolving Commitments, the Lead Borrower shall provide a notice to the Administrative Agent (who shall provide a copy of such notice to each of the Lenders under the applicable Existing Revolver Borrowing) (each, a “</w:t>
      </w:r>
      <w:r>
        <w:rPr>
          <w:rFonts w:ascii="Times New Roman;Times;Serif" w:hAnsi="Times New Roman;Times;Serif"/>
          <w:b w:val="false"/>
          <w:i w:val="false"/>
          <w:caps w:val="false"/>
          <w:smallCaps w:val="false"/>
          <w:sz w:val="20"/>
          <w:u w:val="single"/>
        </w:rPr>
        <w:t>Revolver Extension Request</w:t>
      </w:r>
      <w:r>
        <w:rPr>
          <w:rFonts w:ascii="Times New Roman;Times;Serif" w:hAnsi="Times New Roman;Times;Serif"/>
          <w:b w:val="false"/>
          <w:i w:val="false"/>
          <w:caps w:val="false"/>
          <w:smallCaps w:val="false"/>
          <w:sz w:val="20"/>
        </w:rPr>
        <w:t xml:space="preserve">”) setting forth the proposed terms of the Extended Revolving Commitments to be established, which shall (x) be identical as offered to each Lender under such Existing Revolver Borrowing (including as to the proposed interest rates and fees payable, but excluding any arrangement, structuring or other fees payable in connection therewith that are not generally shared with all relevant Lenders) and offered pro rata to each Lender under such Existing Revolver Borrowing and (y) be identical to the Revolving Commitments under the Existing Revolver Borrowing from which such Extended Revolving Commitments are to be amended, except that: (i) the Maturity Date of the Extended Revolving Commitments may be delayed to a later date than the Maturity Date of the Revolving Commitments of such Existing Revolver Borrowing, to the extent provided in the applicable Extension Amendment;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at no time shall there be Classes of Extended Revolving Commitments and Other Revolving Commitments hereunder which have more than five (5) different Maturity Dates; (ii) the all-in yield with respect to extensions of credit under the Extended Revolving Commitments (whether in the form of interest rate margin, upfront fees, original issue discount or otherwise) may be different than the all-in yield for extensions of credit under the Revolving Commitments of such Existing Revolver Borrowing,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Commitments); and (iv) all borrowings under the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Revolving Commitments (i.e., the Existing Revolver Borrowing and the Extended Revolving Commitments of the applicable Revolver Extension Series) and repayments and commitment reductions thereunder shall be made on a pro rata basis (except for (I) payments of interest and fees at different rates on Extended Revolving Commitments (and related outstandings), (II) repayments required upon the Maturity Date of the non-extending Revolving Commitments and (III) repayments made in connection with a permanent repayment and termination of non-extended Revolving Commitments of the applicable Existing Revolver Borrowing);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 no Event of Default shall have occurred and be continuing at the time a Revolver Extension Request is delivered to Lenders, (B) such Extended Revolving Commitments of any given Revolver Extension Series at the time of establishment thereof do not mature earlier than the Maturity Date of the Existing Revolver Borrowing and (C) all documentation in respect of such Extension Amendment shall be consistent with the foregoing. Any Extended Revolving Commitments amended pursuant to any Revolver Extension Request shall be designated a series (each, a “</w:t>
      </w:r>
      <w:r>
        <w:rPr>
          <w:rFonts w:ascii="Times New Roman;Times;Serif" w:hAnsi="Times New Roman;Times;Serif"/>
          <w:b w:val="false"/>
          <w:i w:val="false"/>
          <w:caps w:val="false"/>
          <w:smallCaps w:val="false"/>
          <w:sz w:val="20"/>
          <w:u w:val="single"/>
        </w:rPr>
        <w:t>Revolver Extension Series</w:t>
      </w:r>
      <w:r>
        <w:rPr>
          <w:rFonts w:ascii="Times New Roman;Times;Serif" w:hAnsi="Times New Roman;Times;Serif"/>
          <w:b w:val="false"/>
          <w:i w:val="false"/>
          <w:caps w:val="false"/>
          <w:smallCaps w:val="false"/>
          <w:sz w:val="20"/>
        </w:rPr>
        <w:t xml:space="preserve">”) of Extended Revolving Commitments for all purposes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Extended Revolving Commitments amended from an Existing Revolver Borrowing may, to the extent provided in the applicable Extension Amendment, be designated as an increase in any previously established Revolver Extension Series with respect to such Existing Revolver Borrowing. Each request for a Revolver Extension Series of Extended Revolving Commitments proposed to be incurred under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shall be in an aggregate principal amount that is not less than $5.0 million (it being understood that the actual principal amount thereof provided by the applicable Lenders may be lower than such minimum amount) and the Lead Borrower may impose an Extension Minimum Condition with respect to any Revolver Extension Request, which may be waived by the Lead Borrower in its sole discretion.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Extension Request</w:t>
      </w:r>
      <w:r>
        <w:rPr>
          <w:rFonts w:ascii="Times New Roman;Times;Serif" w:hAnsi="Times New Roman;Times;Serif"/>
          <w:b w:val="false"/>
          <w:i w:val="false"/>
          <w:caps w:val="false"/>
          <w:smallCaps w:val="false"/>
          <w:sz w:val="20"/>
        </w:rPr>
        <w:t>. The Lead Borrower shall provide the Revolver Extension Request or Term Loan Extension Request (as applicable) at least five (5) Business Days (or such shorter period as may be reasonably agreed by the Administrative Agent) prior to the date on which Lenders under the Existing Term Loan Borrowing or Existing Revolver Borrowing, as applicable, are requested to respond. No Lender shall have any obligation to agree to have any of its Term Loans of any Existing Term Loan Borrowing amended into Extended Term Loans or any of its Revolving Commitments amended into Extended Revolving Commitments, as applicable, pursuant to any Extension Request. Any Lender holding a Loan under an Existing Term Loan Borrowing (each, an “</w:t>
      </w:r>
      <w:r>
        <w:rPr>
          <w:rFonts w:ascii="Times New Roman;Times;Serif" w:hAnsi="Times New Roman;Times;Serif"/>
          <w:b w:val="false"/>
          <w:i w:val="false"/>
          <w:caps w:val="false"/>
          <w:smallCaps w:val="false"/>
          <w:sz w:val="20"/>
          <w:u w:val="single"/>
        </w:rPr>
        <w:t>Extending Term Lender</w:t>
      </w:r>
      <w:r>
        <w:rPr>
          <w:rFonts w:ascii="Times New Roman;Times;Serif" w:hAnsi="Times New Roman;Times;Serif"/>
          <w:b w:val="false"/>
          <w:i w:val="false"/>
          <w:caps w:val="false"/>
          <w:smallCaps w:val="false"/>
          <w:sz w:val="20"/>
        </w:rPr>
        <w:t>”) wishing to have all or a portion of its Term Loans under the Existing Term Loan Borrowing subject to such Extension Request amended into Extended Term Loans and any Revolving Lender (each, an “</w:t>
      </w:r>
      <w:r>
        <w:rPr>
          <w:rFonts w:ascii="Times New Roman;Times;Serif" w:hAnsi="Times New Roman;Times;Serif"/>
          <w:b w:val="false"/>
          <w:i w:val="false"/>
          <w:caps w:val="false"/>
          <w:smallCaps w:val="false"/>
          <w:sz w:val="20"/>
          <w:u w:val="single"/>
        </w:rPr>
        <w:t>Extending Revolving Lender</w:t>
      </w:r>
      <w:r>
        <w:rPr>
          <w:rFonts w:ascii="Times New Roman;Times;Serif" w:hAnsi="Times New Roman;Times;Serif"/>
          <w:b w:val="false"/>
          <w:i w:val="false"/>
          <w:caps w:val="false"/>
          <w:smallCaps w:val="false"/>
          <w:sz w:val="20"/>
        </w:rPr>
        <w:t>”) wishing to have all or a portion of its Revolving Commitments under the Existing Revolver Borrowing subject to such Extension Request amended into Extended Revolving Commitments, as applicable, shall notify the Administrative Agent (each, an “</w:t>
      </w:r>
      <w:r>
        <w:rPr>
          <w:rFonts w:ascii="Times New Roman;Times;Serif" w:hAnsi="Times New Roman;Times;Serif"/>
          <w:b w:val="false"/>
          <w:i w:val="false"/>
          <w:caps w:val="false"/>
          <w:smallCaps w:val="false"/>
          <w:sz w:val="20"/>
          <w:u w:val="single"/>
        </w:rPr>
        <w:t>Extension Election</w:t>
      </w:r>
      <w:r>
        <w:rPr>
          <w:rFonts w:ascii="Times New Roman;Times;Serif" w:hAnsi="Times New Roman;Times;Serif"/>
          <w:b w:val="false"/>
          <w:i w:val="false"/>
          <w:caps w:val="false"/>
          <w:smallCaps w:val="false"/>
          <w:sz w:val="20"/>
        </w:rPr>
        <w:t>”) on or prior to the date specified in such Extension Request of the amount of its Term Loans under the Existing Term Loan Borrowing or Revolving Commitments under the Existing Revolver Borrowing, as applicable, which it has elected to request be amended into Extended Term Loans or Extended Revolving Commitments, as applicable. In the event that the aggregate principal amount of Term Loans under the Existing Term Loan Borrowing or Revolving Commitments under the Existing Revolver Borrowing, as applicable, in respect of which applicable Term Loan Lenders or Revolving Lenders, as the case may be, shall have accepted the relevant Extension Request exceeds the amount of Extended Term Loans or Extended Revolving Commitments, as applicable, requested to be extended pursuant to the Extension Request, Term Loans or Revolving Commitments, as applicable, subject to Extension Elections shall be amended to Extended Term Loans or Extended Revolving Commitments, as applicable, on a pro rata basis (subject to rounding by the Administrative Agent, which shall be conclusive) based on the aggregate principal amount of Term Loans or Revolving Commitments, as applicable, included in each such Extension Election.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Extension Amendment</w:t>
      </w:r>
      <w:r>
        <w:rPr>
          <w:rFonts w:ascii="Times New Roman;Times;Serif" w:hAnsi="Times New Roman;Times;Serif"/>
          <w:b w:val="false"/>
          <w:i w:val="false"/>
          <w:caps w:val="false"/>
          <w:smallCaps w:val="false"/>
          <w:sz w:val="20"/>
        </w:rPr>
        <w:t>. Extended Term Loans and Extended Revolving Commitments shall be established pursuant to an amendment (each, an “</w:t>
      </w:r>
      <w:r>
        <w:rPr>
          <w:rFonts w:ascii="Times New Roman;Times;Serif" w:hAnsi="Times New Roman;Times;Serif"/>
          <w:b w:val="false"/>
          <w:i w:val="false"/>
          <w:caps w:val="false"/>
          <w:smallCaps w:val="false"/>
          <w:sz w:val="20"/>
          <w:u w:val="single"/>
        </w:rPr>
        <w:t>Extension Amendment</w:t>
      </w:r>
      <w:r>
        <w:rPr>
          <w:rFonts w:ascii="Times New Roman;Times;Serif" w:hAnsi="Times New Roman;Times;Serif"/>
          <w:b w:val="false"/>
          <w:i w:val="false"/>
          <w:caps w:val="false"/>
          <w:smallCaps w:val="false"/>
          <w:sz w:val="20"/>
        </w:rPr>
        <w:t xml:space="preserve">”) to this Agreement among the Borrowers, the Administrative Agent and each Extending Term Lender or Extending Revolving Lender, as applicable, providing an Extended Term Loan or Extended Revolving Commitment, as applicable, thereunder, which shall be consistent with the provisions set forth in </w:t>
      </w:r>
      <w:r>
        <w:rPr>
          <w:rFonts w:ascii="Times New Roman;Times;Serif" w:hAnsi="Times New Roman;Times;Serif"/>
          <w:b w:val="false"/>
          <w:i w:val="false"/>
          <w:caps w:val="false"/>
          <w:smallCaps w:val="false"/>
          <w:sz w:val="20"/>
          <w:u w:val="single"/>
        </w:rPr>
        <w:t>Sections 2.23(b)(i)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(b)(ii)</w:t>
      </w:r>
      <w:r>
        <w:rPr>
          <w:rFonts w:ascii="Times New Roman;Times;Serif" w:hAnsi="Times New Roman;Times;Serif"/>
          <w:b w:val="false"/>
          <w:i w:val="false"/>
          <w:caps w:val="false"/>
          <w:smallCaps w:val="false"/>
          <w:sz w:val="20"/>
        </w:rPr>
        <w:t xml:space="preserve"> above, respectively (but which shall not require the consent of any other Lender). The effectiveness of any Extension Amendment shall be subject, to the extent reasonably requested by the Administrative Agent, to the receipt by the Administrative Agent of (i) documents, opinions and certificates of the type referred to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 xml:space="preserve"> and (ii) reaffirmation agreements and/or such amendments to the Security Documents as may be reasonably requested by the Administrative Agent in order to ensure that the Extending Term Lenders or Extending Revolving Lenders, as applicable, are provided with the benefit of the applicable Credit Documents. The Administrative Agent shall promptly notify each Lender as to the effectiveness of each Extension Amendment. Each of the parties hereto hereby agrees that this Agreement and the other Credit Documents may be amended pursuant to an Extension Amendment, without the consent of any other Lenders, to the extent (but only to the extent) necessary to (i) reflect the existence and terms of the Extended Term Loans or Extended Revolving Commitments, as applicable, incurred pursuant thereto, (ii) modify the scheduled repayments set forth in </w:t>
      </w:r>
      <w:r>
        <w:rPr>
          <w:rFonts w:ascii="Times New Roman;Times;Serif" w:hAnsi="Times New Roman;Times;Serif"/>
          <w:b w:val="false"/>
          <w:i w:val="false"/>
          <w:caps w:val="false"/>
          <w:smallCaps w:val="false"/>
          <w:sz w:val="20"/>
          <w:u w:val="single"/>
        </w:rPr>
        <w:t>Section 2.2(a)(ii)</w:t>
      </w:r>
      <w:r>
        <w:rPr>
          <w:rFonts w:ascii="Times New Roman;Times;Serif" w:hAnsi="Times New Roman;Times;Serif"/>
          <w:b w:val="false"/>
          <w:i w:val="false"/>
          <w:caps w:val="false"/>
          <w:smallCaps w:val="false"/>
          <w:sz w:val="20"/>
        </w:rPr>
        <w:t xml:space="preserve"> with respect to any Existing Term Loan Borrowing subject to an Extension Election to reflect a reduction in the principal amount of the Term Loans required to be paid thereunder in an amount equal to the aggregate principal amount of the Extended Term Loans amended pursuant to the applicable Extension Amendment (with such amount to be applied ratably to reduce scheduled repayments of such Term Loans required pursuant to </w:t>
      </w:r>
      <w:r>
        <w:rPr>
          <w:rFonts w:ascii="Times New Roman;Times;Serif" w:hAnsi="Times New Roman;Times;Serif"/>
          <w:b w:val="false"/>
          <w:i w:val="false"/>
          <w:caps w:val="false"/>
          <w:smallCaps w:val="false"/>
          <w:sz w:val="20"/>
          <w:u w:val="single"/>
        </w:rPr>
        <w:t>Section 2.2(a)(ii)</w:t>
      </w:r>
      <w:r>
        <w:rPr>
          <w:rFonts w:ascii="Times New Roman;Times;Serif" w:hAnsi="Times New Roman;Times;Serif"/>
          <w:b w:val="false"/>
          <w:i w:val="false"/>
          <w:caps w:val="false"/>
          <w:smallCaps w:val="false"/>
          <w:sz w:val="20"/>
        </w:rPr>
        <w:t xml:space="preserve">), (iii) modify the prepayments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to reflect the existence of the Extended Term Loans and the application of prepayments with respect thereto, (iv) address technical issues relating to funding and payments and (v) effect such other amendments to this Agreement and the other Credit Documents as may be necessary or appropriate, in the reasonable opinion of the Administrative Agent and the Lead Borrower, to effect the provisions of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and the Required Lenders hereby expressly authorize the Administrative Agent to enter into any such Extension Amendment.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No conversion or extension of Loans or Commitments pursuant to any Extension Amendment in accordance with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shall constitute a voluntary or mandatory payment or prepayment for purposes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shall supersede any provisions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4"/>
        </w:rPr>
        <w:t>Article III</w:t>
      </w:r>
      <w:r>
        <w:rPr>
          <w:rFonts w:ascii="Times New Roman;Times;Serif" w:hAnsi="Times New Roman;Times;Serif"/>
          <w:b/>
          <w:i w:val="false"/>
          <w:caps/>
          <w:sz w:val="20"/>
        </w:rPr>
        <w:br/>
        <w:br/>
        <w:t>REPRESENTATIONS AND WARRANTIES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Lenders to enter into this Agreement and to make the Extensions of Credit herein provided for, the Borrowers hereby, jointly and severally, represent and warrant to the Administrative Agent and to each Lender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3.1</w:t>
        <w:tab/>
      </w:r>
      <w:r>
        <w:rPr>
          <w:rFonts w:ascii="Times New Roman;Times;Serif" w:hAnsi="Times New Roman;Times;Serif"/>
          <w:b/>
          <w:i w:val="false"/>
          <w:caps w:val="false"/>
          <w:smallCaps w:val="false"/>
          <w:sz w:val="20"/>
        </w:rPr>
        <w:t>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Historical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were prepared in accordance with GAAP consistently applied throughout the period covered thereby, except as otherwise expressly noted therein;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fairly present in all material respects the financial position of the Lead Borrower and its Subsidiaries as of the dates thereof (subject, in the case of the unaudited financial statements, to normal year-end adjustments and the absence of footnotes) and results of operations for the periods covered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five-year projections of the Lead Borrower and its Subsidiaries (prepared on an annual basis for the term of this Agreement) delivered to the Lenders on or prior to the Closing Date have been prepared in good faith based upon assumptions believed to be reasonable at the time in light of the conditions existing at the time such projections were created;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(1) such projections are not a guaranty of future performance, (2) whether or not any such projections are in fact achieved will depend upon future events and conditions, some of which are not within the control of the Lead Borrower or its Subsidiaries, and (3) actual results may vary from the projected results and such variations may be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3.2</w:t>
        <w:tab/>
      </w:r>
      <w:r>
        <w:rPr>
          <w:rFonts w:ascii="Times New Roman;Times;Serif" w:hAnsi="Times New Roman;Times;Serif"/>
          <w:b/>
          <w:i w:val="false"/>
          <w:caps w:val="false"/>
          <w:smallCaps w:val="false"/>
          <w:sz w:val="20"/>
        </w:rPr>
        <w:t>No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31, 2023, there has been no event or circumstance which has had or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3.3</w:t>
        <w:tab/>
      </w:r>
      <w:r>
        <w:rPr>
          <w:rFonts w:ascii="Times New Roman;Times;Serif" w:hAnsi="Times New Roman;Times;Serif"/>
          <w:b/>
          <w:i w:val="false"/>
          <w:caps w:val="false"/>
          <w:smallCaps w:val="false"/>
          <w:sz w:val="20"/>
        </w:rPr>
        <w:t>Corporate Existence; Compliance with Law; Patriot 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Lead Borrower and each of the Restricted Subsidiaries (a) is duly organized, validly existing and in good standing under the laws of the jurisdiction of its incorporation, organization or formation, (b) has the requisite power and authority and the legal right to own and operate all its property, to lease the property it operates as lessee and to conduct the business in which it is currently engaged and has taken all actions necessary to maintain all rights, privileges, licenses and franchises necessary or required in the normal conduct of its business, (c) is duly qualified to conduct business and in good standing under the laws of (i) the jurisdiction of its organization or formation, (ii) the jurisdiction where its chief executive office is located and (iii) each other jurisdiction where its ownership, lease or operation of property or the conduct of its business requires such qualification except to the extent that the failure to so qualify or be in good standing in any such other jurisdiction could not, individually or in the aggregate, reasonably be expected to have a Material Adverse Effect and (d) and its respective Registrations and Products are in compliance with all Requirements of Law, Organizational Documents, government permits and government licenses except to the extent such non-compliance could not, individually or in the aggregate, reasonably be expected to have a Material Adverse Effect. Set forth on </w:t>
      </w:r>
      <w:r>
        <w:rPr>
          <w:rFonts w:ascii="Times New Roman;Times;Serif" w:hAnsi="Times New Roman;Times;Serif"/>
          <w:b w:val="false"/>
          <w:i w:val="false"/>
          <w:caps w:val="false"/>
          <w:smallCaps w:val="false"/>
          <w:sz w:val="20"/>
          <w:u w:val="single"/>
        </w:rPr>
        <w:t>Schedule 3.3</w:t>
      </w:r>
      <w:r>
        <w:rPr>
          <w:rFonts w:ascii="Times New Roman;Times;Serif" w:hAnsi="Times New Roman;Times;Serif"/>
          <w:b w:val="false"/>
          <w:i w:val="false"/>
          <w:caps w:val="false"/>
          <w:smallCaps w:val="false"/>
          <w:sz w:val="20"/>
        </w:rPr>
        <w:t xml:space="preserve"> as of the Closing Date is the following information for each Credit Party: the exact legal name and any former legal names of such Credit Party in the four (4) months prior to the Closing Date, the state of incorporation or organization, the type of organization, the jurisdictions in which such Credit Party is qualified to do business, the chief executive office, the principal place of business, the business phone number, the organization identification number, the federal tax identification number and ownership information (e.g. publicly held or if private or partnership, the owners and partners of each of the Credit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3.4</w:t>
        <w:tab/>
      </w:r>
      <w:r>
        <w:rPr>
          <w:rFonts w:ascii="Times New Roman;Times;Serif" w:hAnsi="Times New Roman;Times;Serif"/>
          <w:b/>
          <w:i w:val="false"/>
          <w:caps w:val="false"/>
          <w:smallCaps w:val="false"/>
          <w:sz w:val="20"/>
        </w:rPr>
        <w:t>Corporate Power; Authorization; Enforceable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Credit Parties has full power and authority to enter into, deliver and perform the Credit Documents to which it is party and has taken all necessary limited liability company, partnership or corporate action to authorize the execution, delivery and performance by it of the Credit Documents to which it is party. Each Credit Document to which it is a party has been duly executed and delivered on behalf of each Credit Party. Each Credit Document to which it is a party constitutes a legal, valid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binding obligation of each Credit Party, enforceable against such Credit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3.5</w:t>
        <w:tab/>
      </w:r>
      <w:r>
        <w:rPr>
          <w:rFonts w:ascii="Times New Roman;Times;Serif" w:hAnsi="Times New Roman;Times;Serif"/>
          <w:b/>
          <w:i w:val="false"/>
          <w:caps w:val="false"/>
          <w:smallCaps w:val="false"/>
          <w:sz w:val="20"/>
        </w:rPr>
        <w:t>No Legal Bar; No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each Credit Party of the Credit Documents to which such Credit Party is a party, the borrowings thereunder and the use of the proceeds of the Loans (a) will not violate any Requirement of Law of any Credit Party, except for any violation which could not be reasonably expected to result in a Material Adverse Effect, (b) will not conflict with, result in a breach of or constitute a default under the articles of incorporation, bylaws, articles of organization, operating agreement or other organization documents of the Credit Parties or any material Contractual Obligation to which such Person is a party or by which any of its properties may be bound (except those as to which waivers or consents have been obtained) except for any violation of any such Contractual Obligation which could not be reasonably expected to result in a Material Adverse Effect, and (c) will not result in, or require, the creation or imposition of any Lien on any Credit Party’s properties or revenues pursuant to any Requirement of Law or material Contractual Obligation other than the Liens arising under or contemplated in connection with the Credit Documents or Permitted Liens. Neither the Lead Borrower nor any of its Restricted Subsidiaries is in default under or with respect to any of its material Contractual Obligations except as could not reasonably be expected to have a Material Adverse Effect. No Default or Event of Default has occurred and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3.6</w:t>
        <w:tab/>
      </w:r>
      <w:r>
        <w:rPr>
          <w:rFonts w:ascii="Times New Roman;Times;Serif" w:hAnsi="Times New Roman;Times;Serif"/>
          <w:b/>
          <w:i w:val="false"/>
          <w:caps w:val="false"/>
          <w:smallCaps w:val="false"/>
          <w:sz w:val="20"/>
        </w:rPr>
        <w:t>No Material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3.6</w:t>
      </w:r>
      <w:r>
        <w:rPr>
          <w:rFonts w:ascii="Times New Roman;Times;Serif" w:hAnsi="Times New Roman;Times;Serif"/>
          <w:b w:val="false"/>
          <w:i w:val="false"/>
          <w:caps w:val="false"/>
          <w:smallCaps w:val="false"/>
          <w:sz w:val="20"/>
        </w:rPr>
        <w:t>, no litigation, investigation, claim, criminal prosecution, civil investigative demand, imposition of criminal or civil fines and penalties, or any other proceeding of or before any arbitrator or Governmental Authority is pending or, to the knowledge of the Borrowers, threatened in writing against the Lead Borrower or any of its Restricted Subsidiaries or against any of its or their respective properties (a) with respect to the Credit Documents or any Extension of Credit or any of the Transactions, or (b) which could reasonably be expected to have a Material Adverse Effect. No permanent injunction, temporary restraining order or similar decree has been issued against the Lead Borrower or any of its Restricted Subsidiaries which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3.7</w:t>
        <w:tab/>
      </w:r>
      <w:r>
        <w:rPr>
          <w:rFonts w:ascii="Times New Roman;Times;Serif" w:hAnsi="Times New Roman;Times;Serif"/>
          <w:b/>
          <w:i w:val="false"/>
          <w:caps w:val="false"/>
          <w:smallCaps w:val="false"/>
          <w:sz w:val="20"/>
        </w:rPr>
        <w:t>Investment Company Act;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Credit Party is an “investment company”, or a company “controlled” by an “investment company”, within the meaning of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3.8</w:t>
        <w:tab/>
      </w:r>
      <w:r>
        <w:rPr>
          <w:rFonts w:ascii="Times New Roman;Times;Serif" w:hAnsi="Times New Roman;Times;Serif"/>
          <w:b/>
          <w:i w:val="false"/>
          <w:caps w:val="false"/>
          <w:smallCaps w:val="false"/>
          <w:sz w:val="20"/>
        </w:rPr>
        <w:t>Margin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part of the proceeds of any Extension of Credit hereunder will be used directly or indirectly for any purpose that violates, or that would require any Lender to make any filings in accordance with, the provisions of Regulation T, U or X of the Federal Reserve Board as now and from time to time hereafter in effect. The Lead Borrower and its Restricted Subsidiaries (a) are not engaged, principally or as one of their important activities, in the business of extending credit for the purpose of “purchasing” or “carrying” “margin stock” within the respective meanings of each of such terms under Regulation U and (b) taken as a group do not own “margin stock” except as identified in the financial statements referred to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 delivered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and the aggregate value of all “margin stock” owned by the Lead Borrower and its Restricted Subsidiaries taken as a group does not exceed 25% of the value of their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3.9</w:t>
        <w:tab/>
      </w:r>
      <w:r>
        <w:rPr>
          <w:rFonts w:ascii="Times New Roman;Times;Serif" w:hAnsi="Times New Roman;Times;Serif"/>
          <w:b/>
          <w:i w:val="false"/>
          <w:caps w:val="false"/>
          <w:smallCaps w:val="false"/>
          <w:sz w:val="20"/>
        </w:rPr>
        <w:t>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a Reportable Event nor an “accumulated funding deficiency” (within the meaning of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of the Code or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of ERISA) has occurred during the five year period prior to the date on which this representation is made or deemed made with respect to any ERISA Plan, and each ERISA Plan has complied in all material respects with the applicable provisions of ERISA and the Code except for any failures which could not be reasonably expected to result in a Material Adverse Effect. No termination of a Single Employer Plan has occurred resulting in any liability that has remained underfunded, and no Lien in favor of the PBGC or an ERISA Plan has arisen, during such five year period except for liabilities which could not be reasonably expected to result in a Material Adverse Effect. The present value of all accrued benefits under each Single Employer Plan (based on those assumptions used to fund such ERISA Plans) did not, as of the last annual valuation date prior to the date on which this representation is made or deemed made, exceed the value of the assets of such ERISA Plan allocable to such accrued benefits, except to the extent such excess amount could not be reasonably expected to result in a Material Adverse Effect. Neither the Lead Borrower, any Restricted Subsidiary nor any Commonly Controlled Entity is currently subject to any liability for a complete or partial withdrawal from a Multiemployer Plan except for liabilities which could not be reasonably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Lead Borrower or any of its Subsidiaries is an entity deemed to hold “plan assets” (within the meaning of the Plan Asset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3.10</w:t>
        <w:tab/>
      </w:r>
      <w:r>
        <w:rPr>
          <w:rFonts w:ascii="Times New Roman;Times;Serif" w:hAnsi="Times New Roman;Times;Serif"/>
          <w:b/>
          <w:i w:val="false"/>
          <w:caps w:val="false"/>
          <w:smallCaps w:val="false"/>
          <w:sz w:val="20"/>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facilities and properties owned, leased or operated by the Lead Borrower or any of its Restricted Subsidiaries (the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 do not contain any Materials of Environmental Concern in amounts or concentrations which (i) constitute a violation of, or (ii) could give rise to liability on behalf of the Lead Borrower or any Restricted Subsidiary under, any Environmental Law except for such non-compliance which could not be reasonably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Properties and all operations of the Lead Borrower and/or its Restricted Subsidiaries at the Properties are and have in the last five years been in compliance in all material respects, with all applicable Environmental Laws, except for any non-compliance which could not be reasonably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Lead Borrower nor its Restricted Subsidiaries have received any material written or actual notice of material violation, alleged material violation, material non-compliance, material liability or potential material liability on behalf of the Lead Borrower or any Restricted Subsidiary with respect to Environmental Laws regarding any of the Properties or the business operated by the Lead Borrower or any of its Restricted Subsidiaries (the “</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nor does any Borrower have knowledge that any such notice will be received or is being threatened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Materials of Environmental Concern have not been transported or disposed of from the Properties in violation of, or in a manner or to a location that could give rise to liability on behalf of the Lead Borrower or any Restricted Subsidiary under any Environmental Law, and no Materials of Environmental Concern have been generated, treated, stored or disposed of at, on or under any of the Properties in violation of, or in a manner that could give rise to liability on behalf of the Lead Borrower or any Restricted Subsidiary under, any applicable Environmental Law except for such liabilities which could not be reasonably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judicial proceeding or governmental or administrative action is pending or, to the knowledge of any Borrower, threatened in writing, under any Environmental Law to which the Lead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or any Restricted Subsidiary is or to the knowledge of any Borrower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 in each case, except for any such matter which could not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has been no release or threat of release of Materials of Environmental Concern at or from the Properties, or arising from or related to the operations of the Lead Borrower or any Restricted Subsidiary in connection with the Properties or otherwise in connection with the Business, in material violation of or in amounts or in a manner that could give rise to material liability on behalf of the Lead Borrower or any Restricted Subsidiary under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3.11</w:t>
        <w:tab/>
      </w: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will use (a) the proceeds of (i) the Term Loans made on the Acquisition Closing Date to finance the Transactions, (ii) the Revolving Loans made on and after the Closing Date, and Letters of Credit issued after the Closing Date, to finance the working capital needs of the Lead Borrower and its Restricted Subsidiaries and for general corporate purposes of the Lead Borrower and its Restricted Subsidiaries, and for any other purpose not prohibited by the Credit Documents (including, without limitation, Permitted Acquisitions) and (b) the proceeds of any Incremental Facility to finance Permitted Acquisitions, Investments and Restricted Payments and for other general corporate purposes of the Lead Borrower and its Restricted Subsidiaries, in each case, permitted by the Credit Documents, and any other purpose not prohibited by the Credit Documents and to pay fees, costs and expenses incurred in connection therewith and otherwise for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will not, directly or indirectly, use the proceeds of the Loans or use the Letters of Credit, or lend, contribute or otherwise make available such proceeds to any subsidiary, joint venture partner or other Person, (i) in furtherance of an offer, payment, promise to pay, or authorization of the payment or giving of money, or anything else of value, to any Person in violation of the Foreign Corrupt Practices Act, 15 U.S.C. §§ 78dd-1, et seq. (and any foreign counterpart thereto) or any other applicable anti-corruption law, or (ii) (A) to fund any activities or business of or with any Sanctioned Person, or in any Sanctioned Jurisdiction, or (B) in any other manner that would result in a violation of Sanctions by any Person (including any Person participating in the Loans or Letters of Credit, whether as Administrative Agent, Arranger, Issuing Lender, Lender, underwriter, advisor, investor,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3.12</w:t>
        <w:tab/>
      </w:r>
      <w:r>
        <w:rPr>
          <w:rFonts w:ascii="Times New Roman;Times;Serif" w:hAnsi="Times New Roman;Times;Serif"/>
          <w:b/>
          <w:i w:val="false"/>
          <w:caps w:val="false"/>
          <w:smallCaps w:val="false"/>
          <w:sz w:val="20"/>
        </w:rPr>
        <w:t>Subsidiaries; Joint Ventures;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Set forth on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is a complete and accurate list of all Subsidiaries, joint ventures and partnerships of the Lead Borrower and its Restricted Subsidiaries as of the Closing Date. Information on the attached Schedule includes the following: (a) the number of shares of each class of Equity Interests of each Subsidiary outstanding and (b) the number and percentage of outstanding shares of each class of Equity Interests owned by the Lead Borrower and its Restricted Subsidiaries. The outstanding Equity Interests of all such Subsidiaries are validly issued, fully paid and non-assessable and are owned free and clear of all Liens (other than those arising under or contemplated in connection with the Credit Documents and Permitted Liens). As of the Closing Date, there are no outstanding subscriptions, options, warrants, calls, rights or other agreements or commitments (other than stock options granted to employees or directors and directors’ qualifying shares) of any nature relating to any Equity Interests of any Restricted Subsidiary, except as contemplated in connection with the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3.13</w:t>
        <w:tab/>
      </w:r>
      <w:r>
        <w:rPr>
          <w:rFonts w:ascii="Times New Roman;Times;Serif" w:hAnsi="Times New Roman;Times;Serif"/>
          <w:b/>
          <w:i w:val="false"/>
          <w:caps w:val="false"/>
          <w:smallCaps w:val="false"/>
          <w:sz w:val="20"/>
        </w:rPr>
        <w:t>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Lead Borrower and its Restricted Subsidiaries is the owner of, and has good and marketable title to or a valid leasehold interest in, all of its respective assets, which, together with assets leased or licensed by the Lead Borrower and its Restricted Subsidiaries, represents all assets in the aggregate material to the conduct of the Business, and none of such assets is subject to any Lien other than Permitted Liens. The Lead Borrower and each of its Restricted Subsidiaries enjoys peaceful and undisturbed possession under all of its leases and all such leases are valid and subsisting and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3.14</w:t>
        <w:tab/>
      </w:r>
      <w:r>
        <w:rPr>
          <w:rFonts w:ascii="Times New Roman;Times;Serif" w:hAnsi="Times New Roman;Times;Serif"/>
          <w:b/>
          <w:i w:val="false"/>
          <w:caps w:val="false"/>
          <w:smallCaps w:val="false"/>
          <w:sz w:val="20"/>
        </w:rPr>
        <w:t>Consent; Governmental Authorizations.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approval, consent or authorization of, filing with, notice to or other act by or in respect of, any Governmental Authority or any other Person is required in connection with acceptance of Extensions of Credit by the Borrowers or the making of the Guaranty hereunder or with the execution, delivery or performance of any Credit Document by the Credit Parties (other than those which have been obtained) or with the validity or enforceability of any Credit Document against the Credit Parties (except such filings as are necessary in connection with the perfection of the Liens created by such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3.15</w:t>
        <w:tab/>
      </w:r>
      <w:r>
        <w:rPr>
          <w:rFonts w:ascii="Times New Roman;Times;Serif" w:hAnsi="Times New Roman;Times;Serif"/>
          <w:b/>
          <w:i w:val="false"/>
          <w:caps w:val="false"/>
          <w:smallCaps w:val="false"/>
          <w:sz w:val="20"/>
        </w:rPr>
        <w:t>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Borrower and each of its Restricted Subsidiaries has filed, or caused to be filed, all income tax returns and all other material tax returns (federal, state, local and foreign) required to be filed and paid or made provision for payment of (a) all material federal, state, local and other taxes levied or imposed on their income which are due and payable and (b) all other taxes, fees, assessments and other governmental charges (including mortgage recording taxes, documentary stamp taxes and intangibles taxes) owing by it, except for such taxes (i) that are not yet delinquent or (ii) that are being contested in good faith and by proper proceedings, and against which adequate reserves are being maintained in accordance with GAAP. The Borrowers do not have actual knowledge as of the Closing Date of any proposed tax assessments against the Lead Borrower or any of its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3.16</w:t>
        <w:tab/>
      </w:r>
      <w:r>
        <w:rPr>
          <w:rFonts w:ascii="Times New Roman;Times;Serif" w:hAnsi="Times New Roman;Times;Serif"/>
          <w:b/>
          <w:i w:val="false"/>
          <w:caps w:val="false"/>
          <w:smallCaps w:val="false"/>
          <w:sz w:val="20"/>
        </w:rPr>
        <w:t>Collateral Representations.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Set forth on Schedule 3.16(a), as of the Closing Date, is a list of all registered Intellectual Property (including all applications for registration and issuance) owned by each of the Credit Parties or that each of the Credit Parties licenses on an exclusive basis (including the name/title, current owner, registration or application number, and registration or application date and such other information as reasonably requested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Pledged Debt</w:t>
      </w:r>
      <w:r>
        <w:rPr>
          <w:rFonts w:ascii="Times New Roman;Times;Serif" w:hAnsi="Times New Roman;Times;Serif"/>
          <w:b w:val="false"/>
          <w:i w:val="false"/>
          <w:caps w:val="false"/>
          <w:smallCaps w:val="false"/>
          <w:sz w:val="20"/>
        </w:rPr>
        <w:t>. Set forth on Schedule 3.16(b), as of the Closing Date, is a description of all promissory notes and debt securities of any other Person owned by the Credit Parties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Electronic Chattel Paper, Letter-of-Credit Rights and Uncertificated Investment Property</w:t>
      </w:r>
      <w:r>
        <w:rPr>
          <w:rFonts w:ascii="Times New Roman;Times;Serif" w:hAnsi="Times New Roman;Times;Serif"/>
          <w:b w:val="false"/>
          <w:i w:val="false"/>
          <w:caps w:val="false"/>
          <w:smallCaps w:val="false"/>
          <w:sz w:val="20"/>
        </w:rPr>
        <w:t>. Set forth on Schedule 3.16(c), as of the Closing Date, is a description of all Electronic Chattel Paper (as defined in the UCC), Letter-of-Credit Rights (as defined in the UCC) in excess of $5.0 million and uncertificated Investment Property (as defined in the UCC) of the Credit Parties, including the name of (i) the applicable Credit Party, (ii) in the case of Electronic Chattel Paper, the account debtor, (iii) in the case of Letter-of-Credit Rights, the issuer or nominated person, as applicable, and (iv) in the case of uncertificated Investment Property, the issuer of such Investment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Commercial Tort Claims</w:t>
      </w:r>
      <w:r>
        <w:rPr>
          <w:rFonts w:ascii="Times New Roman;Times;Serif" w:hAnsi="Times New Roman;Times;Serif"/>
          <w:b w:val="false"/>
          <w:i w:val="false"/>
          <w:caps w:val="false"/>
          <w:smallCaps w:val="false"/>
          <w:sz w:val="20"/>
        </w:rPr>
        <w:t>. Set forth on Schedule 3.16(d), as of the Closing Date, is a description of all Commercial Tort Claims (as defined in the UCC) of the Credit Parties in excess of $5.0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million (detailing such Commercial Tort Claim in such detail as reasonably requested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Pledged Equity Interests</w:t>
      </w:r>
      <w:r>
        <w:rPr>
          <w:rFonts w:ascii="Times New Roman;Times;Serif" w:hAnsi="Times New Roman;Times;Serif"/>
          <w:b w:val="false"/>
          <w:i w:val="false"/>
          <w:caps w:val="false"/>
          <w:smallCaps w:val="false"/>
          <w:sz w:val="20"/>
        </w:rPr>
        <w:t xml:space="preserve">. Set forth on Schedule 3.16(e), as of the Closing Date, is a list of (i) 100% (or, if less, the full amount owned by such Credit Party) of the issued and outstanding Equity Interests owned by such Credit Party of each Subsidiary (other than an Excluded Subsidiary), (ii) 65% (or, if less, the full amount owned by such Credit Party) of each class of the issued and outstanding Equity Interests entitled to vote (within the meaning of Treas. Reg. </w:t>
      </w:r>
      <w:r>
        <w:rPr>
          <w:rFonts w:ascii="Times New Roman;Times;Serif" w:hAnsi="Times New Roman;Times;Serif"/>
          <w:b w:val="false"/>
          <w:i w:val="false"/>
          <w:caps w:val="false"/>
          <w:smallCaps w:val="false"/>
          <w:sz w:val="20"/>
          <w:u w:val="single"/>
        </w:rPr>
        <w:t>Section 1.956-2(c)(2)</w:t>
      </w:r>
      <w:r>
        <w:rPr>
          <w:rFonts w:ascii="Times New Roman;Times;Serif" w:hAnsi="Times New Roman;Times;Serif"/>
          <w:b w:val="false"/>
          <w:i w:val="false"/>
          <w:caps w:val="false"/>
          <w:smallCaps w:val="false"/>
          <w:sz w:val="20"/>
        </w:rPr>
        <w:t xml:space="preserve">) and 100% (or, if less, the full amount owned by such Credit Party) of each class of the issued and outstanding Equity Interests not entitled to vote (within the meaning of Treas. Reg. </w:t>
      </w:r>
      <w:r>
        <w:rPr>
          <w:rFonts w:ascii="Times New Roman;Times;Serif" w:hAnsi="Times New Roman;Times;Serif"/>
          <w:b w:val="false"/>
          <w:i w:val="false"/>
          <w:caps w:val="false"/>
          <w:smallCaps w:val="false"/>
          <w:sz w:val="20"/>
          <w:u w:val="single"/>
        </w:rPr>
        <w:t>Section 1.956-2(c)(2)</w:t>
      </w:r>
      <w:r>
        <w:rPr>
          <w:rFonts w:ascii="Times New Roman;Times;Serif" w:hAnsi="Times New Roman;Times;Serif"/>
          <w:b w:val="false"/>
          <w:i w:val="false"/>
          <w:caps w:val="false"/>
          <w:smallCaps w:val="false"/>
          <w:sz w:val="20"/>
        </w:rPr>
        <w:t>) of each first-tier CFC and FSHCO owned by such Credit Party (other than any Immaterial Subsidiary and any Unrestricted Subsidiary) and (iii) all other Equity Interests required to be pledged to the Administrative Agent pursuant to the Security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3.17</w:t>
        <w:tab/>
      </w:r>
      <w:r>
        <w:rPr>
          <w:rFonts w:ascii="Times New Roman;Times;Serif" w:hAnsi="Times New Roman;Times;Serif"/>
          <w:b/>
          <w:i w:val="false"/>
          <w:caps w:val="false"/>
          <w:smallCaps w:val="false"/>
          <w:sz w:val="20"/>
        </w:rPr>
        <w:t>Solvency.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Closing Date, immediately after giving effect to the consummation of the Transactions to occur on the Closing Date and the incurrence of the indebtedness and obligations being incurred in connection with this Agreement, (a) the sum of the debt (including contingent liabilities) of the Lead Borrower and its Subsidiaries on a consolidated basis does not exceed the fair value of the assets of the Lead Borrower and its Subsidiaries on a consolidated basis, (b) the present fair saleable value of the assets of the Lead Borrower and its Subsidiaries, on a consolidated basis, taken as a whole, is not less than the amount that will be required to pay the probable liabilities (including contingent liabilities) and debts of the Lead Borrower and its Subsidiaries on a consolidated basis, as they become absolute and matured in the ordinary course of business, (c) the capital of the Lead Borrower and its Subsidiaries on a consolidated basis is not unreasonably small in relation to their business, on a consolidated basis, as contemplated as of the Closing Date, and (d) the Lead Borrower and its Subsidiaries on a consolidated basis have not incurred and do not intend to incur, or believe that they will incur, debts including contingent obligations, beyond their ability to pay such debts as they become due in the ordinary course of business. For purposes of this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the amount of any contingent liability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Accounting Standards Codification 450).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3.18</w:t>
        <w:tab/>
      </w:r>
      <w:r>
        <w:rPr>
          <w:rFonts w:ascii="Times New Roman;Times;Serif" w:hAnsi="Times New Roman;Times;Serif"/>
          <w:b/>
          <w:i w:val="false"/>
          <w:caps w:val="false"/>
          <w:smallCaps w:val="false"/>
          <w:sz w:val="20"/>
        </w:rPr>
        <w:t>Compliance with FCPA.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Lead Borrower and its Subsidiaries is in compliance with the Foreign Corrupt Practices Act, 15 U.S.C. §§ 78dd-1, et seq</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and any foreign counterpart thereto. None of the Lead Borrower, its Subsidiaries, their respective directors or officers nor, to the knowledge of the Borrowers, employees or any Borrower Agent has (a) directly or indirectly, used any corporate funds for unlawful contributions, gifts, entertainment or other unlawful expenses related to foreign or domestic political activity, (b) made any unlawful payment to foreign or domestic government officials or employees or to any foreign or domestic political parties or campaigns from corporate funds, (c) failed to disclose fully any contribution made by the Lead Borrower or any of its Subsidiaries (or made by any person acting on its behalf of which the Borrowers are aware) which is in violation of law, or (d) violated in any material respect any provision of the Foreign Corrupt Practices Act, 15 U.S.C. §§ 78dd-1, et seq</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and any foreign counterpart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3.19</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3.20</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3.21</w:t>
        <w:tab/>
      </w:r>
      <w:r>
        <w:rPr>
          <w:rFonts w:ascii="Times New Roman;Times;Serif" w:hAnsi="Times New Roman;Times;Serif"/>
          <w:b/>
          <w:i w:val="false"/>
          <w:caps w:val="false"/>
          <w:smallCaps w:val="false"/>
          <w:sz w:val="20"/>
        </w:rPr>
        <w:t>Labor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collective bargaining agreements or Multiemployer Plans covering the employees of the Lead Borrower or any of its Restricted Subsidiaries as of the Closing Date and none of the Lead Borrower or its Restricted Subsidiaries (a) has suffered any strikes, walkouts, work stoppages or other material labor difficulty within the last five years or (b) has knowledge of any potential or pending strike, walkout or work stoppage that could reasonably be expected to have a Material Adverse Effect. No unfair labor practice complaint is pending against the Lead Borrower or any of its Restricted Subsidiaries that could reasonably be expected to have a Material Adverse Effect. There are no strikes, walkouts, work stoppages or other material labor difficulty pending or to any Borrower’s knowledge, threatened in writing against the Lead Borrower or any of its Restricted Subsidiaries that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3.22</w:t>
        <w:tab/>
      </w:r>
      <w:r>
        <w:rPr>
          <w:rFonts w:ascii="Times New Roman;Times;Serif" w:hAnsi="Times New Roman;Times;Serif"/>
          <w:b/>
          <w:i w:val="false"/>
          <w:caps w:val="false"/>
          <w:smallCaps w:val="false"/>
          <w:sz w:val="20"/>
        </w:rPr>
        <w:t>Accuracy and Completeness of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written factual information (other than (i) estimates, budgets, forecasts, pro forma data, financial projections and other forward-looking financial information concerning the Lead Borrower and its Subsidiaries and (ii) other forward-looking information and any information of a general economic or industry specific nature) heretofore, contemporaneously or hereafter furnished by or on behalf of the Lead Borrower or any of its Restricted Subsidiaries to the Administrative Agent, the Arrangers or any Lender for purposes of or in connection with this Agreement or any other Credit Document, or any of the Transactions, when furnished and taken as a whole, is or will be true and accurate in all material respects and does not or, in the case of any such information made available after the Closing Date, will not contain any untrue statement of a material fact or omit to state a material fact necessary in order to make the statements contained therein not materially misleading in light of the circumstances in which such statements are made (giving effect to all supplements and updates thereto which shall be deemed to cure any prior inaccuracy);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such written factual information relating to the Company and its subsidiaries furnished by or on behalf of the Lead Borrower or any of its Restricted Subsidiaries on or before the Acquisition Closing Date, the foregoing representation and warranty is to the knowledge of the Lead Borrower. There is no fact now known to the Lead Borrower or any of its Restricted Subsidiaries which, individually or in the aggregate, has, or could reasonably be expected to have, a Material Adverse Effect, which fact has not been set forth herein, in the financial statements of the Lead Borrower and its Restricted Subsidiaries furnished to the Administrative Agent and the Lenders, or in any certificate, opinion or other written statement made or furnished by any Credit Party to the Administrative Agent and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Closing Date, the information included in the Beneficial Ownership Certificate is true and correct in all respects other than immaterial typographical or clerical errors which do not impact the substance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3.23</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3.24</w:t>
        <w:tab/>
      </w: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5.15(e)</w:t>
      </w:r>
      <w:r>
        <w:rPr>
          <w:rFonts w:ascii="Times New Roman;Times;Serif" w:hAnsi="Times New Roman;Times;Serif"/>
          <w:b w:val="false"/>
          <w:i w:val="false"/>
          <w:caps w:val="false"/>
          <w:smallCaps w:val="false"/>
          <w:sz w:val="20"/>
        </w:rPr>
        <w:t xml:space="preserve">, the insurance coverage of the Lead Borrower and its Restricted Subsidiaries is outlined as to carrier, policy number, expiration date, type and amount on </w:t>
      </w:r>
      <w:r>
        <w:rPr>
          <w:rFonts w:ascii="Times New Roman;Times;Serif" w:hAnsi="Times New Roman;Times;Serif"/>
          <w:b w:val="false"/>
          <w:i w:val="false"/>
          <w:caps w:val="false"/>
          <w:smallCaps w:val="false"/>
          <w:sz w:val="20"/>
          <w:u w:val="single"/>
        </w:rPr>
        <w:t>Schedule 3.24</w:t>
      </w:r>
      <w:r>
        <w:rPr>
          <w:rFonts w:ascii="Times New Roman;Times;Serif" w:hAnsi="Times New Roman;Times;Serif"/>
          <w:b w:val="false"/>
          <w:i w:val="false"/>
          <w:caps w:val="false"/>
          <w:smallCaps w:val="false"/>
          <w:sz w:val="20"/>
        </w:rPr>
        <w:t xml:space="preserve"> as of the Closing Date and such insurance coverage complies with the requirements set forth in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3.25</w:t>
        <w:tab/>
      </w:r>
      <w:r>
        <w:rPr>
          <w:rFonts w:ascii="Times New Roman;Times;Serif" w:hAnsi="Times New Roman;Times;Serif"/>
          <w:b/>
          <w:i w:val="false"/>
          <w:caps w:val="false"/>
          <w:smallCaps w:val="false"/>
          <w:sz w:val="20"/>
        </w:rPr>
        <w:t>Security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Security Documents create valid and enforceable security interests in, and Liens on, the Collateral purported to be covered thereby. Except as set forth in the Security Documents, such security interests and Liens are currently (or will be, upon (a) the filing of appropriate financing statements with the Secretary of State of the state of incorporation or organization for each Credit Party and the filing of appropriate assignments or notices with the United States Patent and Trademark Office and the United States Copyright Office, in each case in favor of the Administrative Agent, on behalf of the Lenders, and (b) the Administrative Agent obtaining control or possession over those items of Collateral in which a security interest is perfected through control or possession) perfected security interests and Liens in favor of the Administrative Agent, for the benefit of the Secured Parties, prior to all other Liens other than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3.26</w:t>
        <w:tab/>
      </w:r>
      <w:r>
        <w:rPr>
          <w:rFonts w:ascii="Times New Roman;Times;Serif" w:hAnsi="Times New Roman;Times;Serif"/>
          <w:b/>
          <w:i w:val="false"/>
          <w:caps w:val="false"/>
          <w:smallCaps w:val="false"/>
          <w:sz w:val="20"/>
        </w:rPr>
        <w:t>Classification of Senior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Party Obligations constitute “Senior Indebtedness”, “Designated Senior Indebtedness” or any similar designation under and as defined in any agreement governing any Subordinated Debt and the subordination provisions set forth in each such agreement are legally valid and enforceable against the parties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3.27</w:t>
        <w:tab/>
      </w:r>
      <w:r>
        <w:rPr>
          <w:rFonts w:ascii="Times New Roman;Times;Serif" w:hAnsi="Times New Roman;Times;Serif"/>
          <w:b/>
          <w:i w:val="false"/>
          <w:caps w:val="false"/>
          <w:smallCaps w:val="false"/>
          <w:sz w:val="20"/>
        </w:rPr>
        <w:t>Anti-Terrorism Laws; OFAC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Lead Borrower, any of its Subsidiaries nor, to the knowledge of any Borrower, the Affiliates or respective officers, directors, brokers or Borrower Agents of the Lead Borrower, such Subsidiary or Affiliate (i) has violated any Anti-Terrorism Laws or (ii) has engaged in any transaction, investment, undertaking or activity that conceals the identity, source or destination of the proceeds from any category of prohibited offenses designated by the Organization for Economic Co-operation and Development’s Financial Action Task Force on Money Laundering.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Lead Borrower, any of its Subsidiaries nor, to the knowledge of the Borrowers, the Affiliates or respective officers, directors, employees, brokers or Borrower Agents of the Lead Borrower, such Subsidiary or Affiliate is a Person that is, or is owned or controlled by a Person that is, a Sanctioned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Lead Borrower, any of its Subsidiaries nor, to the knowledge of the Borrowers, the Affiliates or respective officers, directors, brokers or Borrower Agents of the Lead Borrower, such Subsidiary or Affiliate acting or benefiting in any capacity in connection with the Loans (i) conducts any business or engages in making or receiving any contribution of goods, services or money to or for the benefit of any Sanctioned Person, or in any Sanctioned Jurisdiction, except as permitted by applicable law, (ii) deals in, or otherwise engages in any transaction related to, any property or interests in property blocked pursuant to any Anti-Terrorism Law or (iii) engages in or conspires to engage in any transaction that evades or avoids, or has the purpose of evading or avoiding, or attempts to violate, any of the prohibitions set forth in any Anti-Terrorism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3.28</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3.29</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3.30</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3.31</w:t>
        <w:tab/>
      </w:r>
      <w:r>
        <w:rPr>
          <w:rFonts w:ascii="Times New Roman;Times;Serif" w:hAnsi="Times New Roman;Times;Serif"/>
          <w:b/>
          <w:i w:val="false"/>
          <w:caps w:val="false"/>
          <w:smallCaps w:val="false"/>
          <w:sz w:val="20"/>
        </w:rPr>
        <w:t>Affected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Lead Borrower nor any of its Subsidiaries is an Affected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3.32</w:t>
        <w:tab/>
      </w:r>
      <w:r>
        <w:rPr>
          <w:rFonts w:ascii="Times New Roman;Times;Serif" w:hAnsi="Times New Roman;Times;Serif"/>
          <w:b/>
          <w:i w:val="false"/>
          <w:caps w:val="false"/>
          <w:smallCaps w:val="false"/>
          <w:sz w:val="20"/>
        </w:rPr>
        <w:t>Trade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exists no actual or, to any Borrower’s knowledge, threatened in writing termination, cancellation or limitation of, or any modification or change in, the business relationship between the Lead Borrower or any of its Restricted Subsidiaries and any customer or any group of customers whose purchases individually or in the aggregate are material to the business of the Lead Borrower and its Restricted Subsidiaries, or with any material supplier, except in each case, where the same could not reasonably be expected to have a Material Adverse Effect, and there exists no present condition or state of facts or circumstances which would prevent the Lead Borrower or any of its Restricted Subsidiaries from conducting such business after the consummation of the transactions contemplated by this Agreement in substantially the same manner in which it has heretofore been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3.33</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3.34</w:t>
        <w:tab/>
      </w:r>
      <w:r>
        <w:rPr>
          <w:rFonts w:ascii="Times New Roman;Times;Serif" w:hAnsi="Times New Roman;Times;Serif"/>
          <w:b/>
          <w:i w:val="false"/>
          <w:caps w:val="false"/>
          <w:smallCaps w:val="false"/>
          <w:sz w:val="20"/>
        </w:rPr>
        <w:t>Health Care Laws and Permits.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could not reasonably be expected to have, individually or in the aggregate, a Material Adverse Effect, each of the Lead Borrower and its Restricted Subsidiaries are in compliance with all applicable Health Care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Lead Borrower and its Restricted Subsidiaries holds and is operating in material compliance with all Permits, except where the failure to hold or operate in material compliance with such Permits could not result in a Material Adverse Effect. Neither the Lead Borrower nor any of its Restricted Subsidiaries has received any written notice of proceedings relating to, and to the knowledge of each Borrower there are no facts or circumstances that would reasonably be expected to lead to, the revocation, suspension, termination or modification of any such certificate Permit, except where such revocation, suspension, termination or modification of any such Permit has not had, and could not reasonably be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Lead Borrower and its Restricted Subsidiaries have not received any written notice or, to the knowledge of Borrowers, other communication from any Governmental Authority, regarding any actual or alleged violation of, any applicable Health Care Law by the Lead Borrower or any of its Restricted Subsidiaries, except where such actual or alleged violation has not had, and could not reasonably be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Included Product is the subject of, or subject to (as applicable), any recall, market withdrawal or seizure, or any warning letter or other written communication from any Governmental Authority to the Lead Borrower or any of its Restricted Subsidiaries requiring such action or asserting that an Included Product fails to comply with applicable law, except where such action, letter or communication has not had, and could not reasonably be expected to have, individually or in the aggregate, a Material Adverse Effect. Neither the Lead Borrower nor any Restricted Subsidiary has received written notification from any Governmental Authority that an Included Product fails to comply with applicable Law, which failure would reasonably be expected to result in sanctions or adversely affect the Permits of the Lead Borrower and its Restricted Subsidiaries’ facilities, except where such sanctions or adverse effect on the Permits have not had, and could not reasonably be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3.35</w:t>
        <w:tab/>
      </w:r>
      <w:r>
        <w:rPr>
          <w:rFonts w:ascii="Times New Roman;Times;Serif" w:hAnsi="Times New Roman;Times;Serif"/>
          <w:b/>
          <w:i w:val="false"/>
          <w:caps w:val="false"/>
          <w:smallCaps w:val="false"/>
          <w:sz w:val="20"/>
        </w:rPr>
        <w:t>Regulatory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knowledge of the Borrowers, neither the FDA nor other Governmental Authority is considering limiting, suspending, or revoking any Registrations or changing the marketing classification or labeling or other significant parameter affecting the Products of the Lead Borrower or any of its Restricted Subsidiaries in any manner that could be reasonably expected to result in a Material Adverse Effect. To the knowledge of the Borrowers, no event has occurred or condition or state of facts exists which could constitute a breach or default, or could cause revocation or termination of any material Registrations. To the knowledge of the Borrowers, any third party that is a manufacturer or contractor for the Lead Borrower or any of its Restricted Subsidiaries is in compliance with all Registrations required by the FDA or comparable Governmental Authority and all Public Health Laws insofar as they reasonably pertain to the Products of the Lead Borrower and its Restricted Subsidiaries, except for any failures that could be reasonably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2024, neither the Lead Borrower nor any of its Restricted Subsidiaries has received a written warning letter, notice of violation letter, consent decree, request for information or other notice, response or commitment made to or with a Governmental Authority with respect to Regulatory Matters that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Closing Date, neither the Lead Borrower nor any of its Restricted Subsidiaries is undergoing any material inspection related to Regulatory Matters, or any other Governmental Authority investigation.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period of three (3) calendar years immediately preceding the Closing Date, the Borrowers do not have any knowledge that the Lead Borrower or any of its Restricted Subsidiaries has, nor has it or any of its Restricted Subsidiaries received written notice that it has, introduced into commercial distribution any Products manufactured by or on behalf of the Lead Borrower or any of its Restricted Subsidiaries or distributed any products on behalf of another manufacturer that were upon their shipment by the Lead Borrower or any of its Restricted Subsidiaries adulterated or misbranded in violation of 21 U.S.C. § 331, and adverse determination with respect to which would result in a Material Adverse Effect. Neither the Lead Borrower nor any of its Restricted Subsidiaries has received any material written notice from any Governmental Authority alleging noncompliance with any Requirement of Law, which noncompliance could reasonably be expected to have a Material Adverse Effect. No Product has been seized, withdrawn, recalled, detained, or subject to a suspension (other than in the ordinary course of business) of research, manufacturing, distribution, or commercialization activity, and, to the knowledge of the Borrowers, there are no facts or circumstances reasonably likely to cause (i) the seizure, denial, withdrawal, recall, detention, public health notification, safety alert or suspension of manufacturing or other activity relating to any Product; (ii) a material change in the labeling of any Product suggesting a compliance issue; or (iii) a termination, seizure or material suspension of manufacturing, researching, distributing or marketing of any Product. No proceedings in the United States or any other jurisdiction seeking the withdrawal, recall, revocation, suspension, import detention, or seizure of any Product are pending or to the knowledge of the Borrowers threatened in writing against the Lead Borrower or any of its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Closing Date, neither the Lead Borrower nor any of its Subsidiaries nor any of their respective officers, directors or employees, nor to the knowledge of the Lead Borrower, any of their agents or contractors (i) have been excluded or debarred from any federal healthcare program (including without limitation Medicare or Medicaid) or any other federal program or (ii) have received written notice from the FDA or any other Governmental Authority with respect to debarment or disqualification of any Person that could reasonably be expected to have, in the aggregate, a Material Adverse Effect. As of the Closing Date, neither the Lead Borrower nor any of its Subsidiaries nor any of their respective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directors or employees, nor to the knowledge of the Borrowers, any of their agents or contractors have been convicted of any crime or engaged in any conduct for which (x) debarment is mandated or permitted by 21 U.S.C. § 335a or (y) such Person could be excluded from participating in the federal health care programs under </w:t>
      </w:r>
      <w:r>
        <w:rPr>
          <w:rFonts w:ascii="Times New Roman;Times;Serif" w:hAnsi="Times New Roman;Times;Serif"/>
          <w:b w:val="false"/>
          <w:i w:val="false"/>
          <w:caps w:val="false"/>
          <w:smallCaps w:val="false"/>
          <w:sz w:val="20"/>
          <w:u w:val="single"/>
        </w:rPr>
        <w:t>Section 1128</w:t>
      </w:r>
      <w:r>
        <w:rPr>
          <w:rFonts w:ascii="Times New Roman;Times;Serif" w:hAnsi="Times New Roman;Times;Serif"/>
          <w:b w:val="false"/>
          <w:i w:val="false"/>
          <w:caps w:val="false"/>
          <w:smallCaps w:val="false"/>
          <w:sz w:val="20"/>
        </w:rPr>
        <w:t xml:space="preserve"> of the Social Security Act or any similar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Lead Borrower and each of its Subsidiaries is in material compliance with the written procedures, record-keeping and reporting requirements required by the FDA or any comparable Governmental Authority pertaining to the reporting of adverse events and recalls involving the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4"/>
        </w:rPr>
        <w:t>Article IV</w:t>
      </w:r>
      <w:r>
        <w:rPr>
          <w:rFonts w:ascii="Times New Roman;Times;Serif" w:hAnsi="Times New Roman;Times;Serif"/>
          <w:b/>
          <w:i w:val="false"/>
          <w:caps/>
          <w:sz w:val="20"/>
        </w:rPr>
        <w:br/>
        <w:br/>
        <w:t>CONDITIONS PRECEDENT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4.1</w:t>
        <w:tab/>
      </w:r>
      <w:r>
        <w:rPr>
          <w:rFonts w:ascii="Times New Roman;Times;Serif" w:hAnsi="Times New Roman;Times;Serif"/>
          <w:b/>
          <w:i w:val="false"/>
          <w:caps w:val="false"/>
          <w:smallCaps w:val="false"/>
          <w:sz w:val="20"/>
        </w:rPr>
        <w:t>Conditions to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become effective upon, and the obligation of each Lender to make the initial Extensions of Credit on the Closing Date is subject to, the satisfaction of the following conditions precedent;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the doubt, the availability of the Initial Term Loans is subject solely to the satisfaction of the conditions precedent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on the Acquisition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Execution of Credit Agreement and Credit Documents</w:t>
      </w:r>
      <w:r>
        <w:rPr>
          <w:rFonts w:ascii="Times New Roman;Times;Serif" w:hAnsi="Times New Roman;Times;Serif"/>
          <w:b w:val="false"/>
          <w:i w:val="false"/>
          <w:caps w:val="false"/>
          <w:smallCaps w:val="false"/>
          <w:sz w:val="20"/>
        </w:rPr>
        <w:t>. The Administrative Agent shall have received (i) counterparts of this Agreement, executed by a duly authorized officer of each party hereto, (ii) for the account of each Revolving Lender requesting a promissory note, a duly executed Revolving Loan Note, (iii) [reserved], (iv) for the account of the Swingline Lender requesting a promissory note, the Swingline Loan Note, and (v) counterparts of the Security Agreement and the Pledge Agreement, in each case conforming to the requirements of this Agreement and executed by duly authorized officers of the Credit Parties or other Person,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Authority Documents</w:t>
      </w:r>
      <w:r>
        <w:rPr>
          <w:rFonts w:ascii="Times New Roman;Times;Serif" w:hAnsi="Times New Roman;Times;Serif"/>
          <w:b w:val="false"/>
          <w:i w:val="false"/>
          <w:caps w:val="false"/>
          <w:smallCaps w:val="false"/>
          <w:sz w:val="20"/>
        </w:rPr>
        <w:t>. The Administrative Agent shall have received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Articles of Incorporation/Charter Documents</w:t>
      </w:r>
      <w:r>
        <w:rPr>
          <w:rFonts w:ascii="Times New Roman;Times;Serif" w:hAnsi="Times New Roman;Times;Serif"/>
          <w:b w:val="false"/>
          <w:i w:val="false"/>
          <w:caps w:val="false"/>
          <w:smallCaps w:val="false"/>
          <w:sz w:val="20"/>
        </w:rPr>
        <w:t xml:space="preserve">. Original certified articles of incorporation or other charter documents, as applicable, of each Credit Party certified (A) by an officer of such Credit Party (pursuant to an officer’s certificate in substantially the form of </w:t>
      </w:r>
      <w:r>
        <w:rPr>
          <w:rFonts w:ascii="Times New Roman;Times;Serif" w:hAnsi="Times New Roman;Times;Serif"/>
          <w:b w:val="false"/>
          <w:i w:val="false"/>
          <w:caps w:val="false"/>
          <w:smallCaps w:val="false"/>
          <w:sz w:val="20"/>
          <w:u w:val="single"/>
        </w:rPr>
        <w:t>Exhibit 4.1(b)</w:t>
      </w:r>
      <w:r>
        <w:rPr>
          <w:rFonts w:ascii="Times New Roman;Times;Serif" w:hAnsi="Times New Roman;Times;Serif"/>
          <w:b w:val="false"/>
          <w:i w:val="false"/>
          <w:caps w:val="false"/>
          <w:smallCaps w:val="false"/>
          <w:sz w:val="20"/>
        </w:rPr>
        <w:t xml:space="preserve"> attached hereto) as of the Closing Date to be true and correct and in force and effect as of such date, and (B) to be true and complete as of a recent date by the appropriate Governmental Authority of the state of its incorporation or organization,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Resolutions</w:t>
      </w:r>
      <w:r>
        <w:rPr>
          <w:rFonts w:ascii="Times New Roman;Times;Serif" w:hAnsi="Times New Roman;Times;Serif"/>
          <w:b w:val="false"/>
          <w:i w:val="false"/>
          <w:caps w:val="false"/>
          <w:smallCaps w:val="false"/>
          <w:sz w:val="20"/>
        </w:rPr>
        <w:t xml:space="preserve">. Copies of resolutions of the board of directors or comparable managing body of each Credit Party approving and adopting the Credit Documents, the Transactions and authorizing execution and delivery thereof, certified by an officer of such Credit Party (pursuant to an officer’s certificate in substantially the form of </w:t>
      </w:r>
      <w:r>
        <w:rPr>
          <w:rFonts w:ascii="Times New Roman;Times;Serif" w:hAnsi="Times New Roman;Times;Serif"/>
          <w:b w:val="false"/>
          <w:i w:val="false"/>
          <w:caps w:val="false"/>
          <w:smallCaps w:val="false"/>
          <w:sz w:val="20"/>
          <w:u w:val="single"/>
        </w:rPr>
        <w:t>Exhibit 4.1(b)</w:t>
      </w:r>
      <w:r>
        <w:rPr>
          <w:rFonts w:ascii="Times New Roman;Times;Serif" w:hAnsi="Times New Roman;Times;Serif"/>
          <w:b w:val="false"/>
          <w:i w:val="false"/>
          <w:caps w:val="false"/>
          <w:smallCaps w:val="false"/>
          <w:sz w:val="20"/>
        </w:rPr>
        <w:t xml:space="preserve"> attached hereto) as of the Closing Date to be true and correct and in force and effect as of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Bylaws/Operating Agreement</w:t>
      </w:r>
      <w:r>
        <w:rPr>
          <w:rFonts w:ascii="Times New Roman;Times;Serif" w:hAnsi="Times New Roman;Times;Serif"/>
          <w:b w:val="false"/>
          <w:i w:val="false"/>
          <w:caps w:val="false"/>
          <w:smallCaps w:val="false"/>
          <w:sz w:val="20"/>
        </w:rPr>
        <w:t xml:space="preserve">. A copy of the bylaws or comparable operating agreement of each Credit Party certified by an officer of such Credit Party (pursuant to an officer’s certificate in substantially the form of </w:t>
      </w:r>
      <w:r>
        <w:rPr>
          <w:rFonts w:ascii="Times New Roman;Times;Serif" w:hAnsi="Times New Roman;Times;Serif"/>
          <w:b w:val="false"/>
          <w:i w:val="false"/>
          <w:caps w:val="false"/>
          <w:smallCaps w:val="false"/>
          <w:sz w:val="20"/>
          <w:u w:val="single"/>
        </w:rPr>
        <w:t>Exhibit 4.1(b)</w:t>
      </w:r>
      <w:r>
        <w:rPr>
          <w:rFonts w:ascii="Times New Roman;Times;Serif" w:hAnsi="Times New Roman;Times;Serif"/>
          <w:b w:val="false"/>
          <w:i w:val="false"/>
          <w:caps w:val="false"/>
          <w:smallCaps w:val="false"/>
          <w:sz w:val="20"/>
        </w:rPr>
        <w:t xml:space="preserve"> attached hereto) as of the Closing Date to be true and correct and in force and effect as of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Good Standing</w:t>
      </w:r>
      <w:r>
        <w:rPr>
          <w:rFonts w:ascii="Times New Roman;Times;Serif" w:hAnsi="Times New Roman;Times;Serif"/>
          <w:b w:val="false"/>
          <w:i w:val="false"/>
          <w:caps w:val="false"/>
          <w:smallCaps w:val="false"/>
          <w:sz w:val="20"/>
        </w:rPr>
        <w:t>. Original certificates of good standing, existence or its equivalent with respect to each Credit Party certified as of a recent date by the appropriate Governmental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Authorities of the state of incorporation or organization and each other state in which the failure to so qualify and be in good standing could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Incumbency</w:t>
      </w:r>
      <w:r>
        <w:rPr>
          <w:rFonts w:ascii="Times New Roman;Times;Serif" w:hAnsi="Times New Roman;Times;Serif"/>
          <w:b w:val="false"/>
          <w:i w:val="false"/>
          <w:caps w:val="false"/>
          <w:smallCaps w:val="false"/>
          <w:sz w:val="20"/>
        </w:rPr>
        <w:t xml:space="preserve">. An incumbency certificate of each Authorized Officer of each Credit Party certified by an officer (pursuant to an officer’s certificate in substantially the form of </w:t>
      </w:r>
      <w:r>
        <w:rPr>
          <w:rFonts w:ascii="Times New Roman;Times;Serif" w:hAnsi="Times New Roman;Times;Serif"/>
          <w:b w:val="false"/>
          <w:i w:val="false"/>
          <w:caps w:val="false"/>
          <w:smallCaps w:val="false"/>
          <w:sz w:val="20"/>
          <w:u w:val="single"/>
        </w:rPr>
        <w:t>Exhibit 4.1(b)</w:t>
      </w:r>
      <w:r>
        <w:rPr>
          <w:rFonts w:ascii="Times New Roman;Times;Serif" w:hAnsi="Times New Roman;Times;Serif"/>
          <w:b w:val="false"/>
          <w:i w:val="false"/>
          <w:caps w:val="false"/>
          <w:smallCaps w:val="false"/>
          <w:sz w:val="20"/>
        </w:rPr>
        <w:t xml:space="preserve"> attached hereto) to be true and correct as of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Legal Opinion of Counsel</w:t>
      </w:r>
      <w:r>
        <w:rPr>
          <w:rFonts w:ascii="Times New Roman;Times;Serif" w:hAnsi="Times New Roman;Times;Serif"/>
          <w:b w:val="false"/>
          <w:i w:val="false"/>
          <w:caps w:val="false"/>
          <w:smallCaps w:val="false"/>
          <w:sz w:val="20"/>
        </w:rPr>
        <w:t>. The Administrative Agent shall have received an opinion or opinions (including, if requested by the Administrative Agent, local counsel opinions) of counsel for the Credit Parties, dated the Closing Date and addressed to the Administrative Agent and the Lenders, in form and substance acceptable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Personal Property Collateral</w:t>
      </w:r>
      <w:r>
        <w:rPr>
          <w:rFonts w:ascii="Times New Roman;Times;Serif" w:hAnsi="Times New Roman;Times;Serif"/>
          <w:b w:val="false"/>
          <w:i w:val="false"/>
          <w:caps w:val="false"/>
          <w:smallCaps w:val="false"/>
          <w:sz w:val="20"/>
        </w:rPr>
        <w:t>. The Administrative Agent shall have received, in form and substance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searches of UCC filings in the jurisdiction of incorporation or formation, as applicable, of each Credit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and judgment searches;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completed UCC financing statements for each appropriate jurisdiction as is necessary, in the Administrative Agent’s sole discretion, to perfect the Administrative Agent’s security interest in the Collateral;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Perfection Requirements, stock or membership certificates, if any, evidencing the Equity Interests pledged to the Administrative Agent pursuant to the Pledge Agreement and undated stock or transfer powers duly executed in blank;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duly executed consents as are necessary, in the Administrative Agent’s sole discretion, to perfect the Lenders’ security interest in the Collateral;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completed Perfection Certificate dated the Closing Date and signed by an Authorized Officer of the Lead Borrower, together with all attachments contemplated thereby;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subject to the Perfection Requirements and to the extent required to be delivered pursuant to the terms of the Security Documents, all instruments, documents and chattel paper in the possession of any of the Credit Parties, together with allonges or assignments as may be necessary or appropriate to perfect the Administrative Agent’s and the Lenders’ security interest in the Collateral.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made by the Credit Parties herein and in the other Credit Documents shall (i) with respect to representations and warranties that contain a materiality qualification, be true and correct in all respects and (ii) with respect to representations and warranties that do not contain a materiality qualification, be true and correct in all material respects, in each case on and as of Closing Date, except for any such representation or warranty made as of an earlier date, which representation and warranty shall be true and correct in all material respects (or, with respect to any such representation and warranty that contains a materiality qualification, be true and correct in all respects) as of such earlier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Defaults.</w:t>
      </w:r>
      <w:r>
        <w:rPr>
          <w:rFonts w:ascii="Times New Roman;Times;Serif" w:hAnsi="Times New Roman;Times;Serif"/>
          <w:b w:val="false"/>
          <w:i w:val="false"/>
          <w:caps w:val="false"/>
          <w:smallCaps w:val="false"/>
          <w:sz w:val="20"/>
        </w:rPr>
        <w:t xml:space="preserve"> No Default or Event of Default shall have occurred and be continuing on the Closing Date, both before and after giving effect to any Extensions of Credit to be made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Solvency Certificate</w:t>
      </w:r>
      <w:r>
        <w:rPr>
          <w:rFonts w:ascii="Times New Roman;Times;Serif" w:hAnsi="Times New Roman;Times;Serif"/>
          <w:b w:val="false"/>
          <w:i w:val="false"/>
          <w:caps w:val="false"/>
          <w:smallCaps w:val="false"/>
          <w:sz w:val="20"/>
        </w:rPr>
        <w:t>. The Administrative Agent shall have received an officer’s certificate prepared by the chief financial officer or other Authorized Officer approved by the Administrative Agent of the Lead Borrower as to the financial condition, solvency and related matters of the Lead Borrower and its Subsidiaries, after giving effect to the Transactions to occur on the Closing Date, in substantially the form of Exhibit 4.1(g)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The Administrative Agent shall have received a Notice of Borrowing with respect to the Revolving Loans (if any) to be made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Closing Date Refinancing</w:t>
      </w:r>
      <w:r>
        <w:rPr>
          <w:rFonts w:ascii="Times New Roman;Times;Serif" w:hAnsi="Times New Roman;Times;Serif"/>
          <w:b w:val="false"/>
          <w:i w:val="false"/>
          <w:caps w:val="false"/>
          <w:smallCaps w:val="false"/>
          <w:sz w:val="20"/>
        </w:rPr>
        <w:t>. The Closing Date Refinancing shall be consummated prior to or substantially simultaneously with the effectiveness of this Agreement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Closing Certificate</w:t>
      </w:r>
      <w:r>
        <w:rPr>
          <w:rFonts w:ascii="Times New Roman;Times;Serif" w:hAnsi="Times New Roman;Times;Serif"/>
          <w:b w:val="false"/>
          <w:i w:val="false"/>
          <w:caps w:val="false"/>
          <w:smallCaps w:val="false"/>
          <w:sz w:val="20"/>
        </w:rPr>
        <w:t xml:space="preserve">. The Administrative Agent shall have received a certificate or certificates executed by an Authorized Officer of the Lead Borrower as of the Closing Date, substantially in the form of Exhibit 4.1(l), certifying as to satisfaction of the conditions referred to in </w:t>
      </w:r>
      <w:r>
        <w:rPr>
          <w:rFonts w:ascii="Times New Roman;Times;Serif" w:hAnsi="Times New Roman;Times;Serif"/>
          <w:b w:val="false"/>
          <w:i w:val="false"/>
          <w:caps w:val="false"/>
          <w:smallCaps w:val="false"/>
          <w:sz w:val="20"/>
          <w:u w:val="single"/>
        </w:rPr>
        <w:t>Section 4.1 (e)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Patriot Act, Beneficial Ownership Regulation, etc</w:t>
      </w:r>
      <w:r>
        <w:rPr>
          <w:rFonts w:ascii="Times New Roman;Times;Serif" w:hAnsi="Times New Roman;Times;Serif"/>
          <w:b w:val="false"/>
          <w:i w:val="false"/>
          <w:caps w:val="false"/>
          <w:smallCaps w:val="false"/>
          <w:sz w:val="20"/>
        </w:rPr>
        <w:t>. So long as requested at least ten (10) Business Days prior to the Closing Date, the Administrative Agent shall have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least two (2) Business Days prior to the Closing Date, documentation and other information requested by the Administrative Agent in order to comply with requirements of the Patriot Act, applicable “know your customer” and anti-money laundering rules and regulations;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least two (2) days prior to the Closing Date, a Beneficial Ownership Certification in relation to the Borrowers as required by 31 C.F.R. § 1010.2.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The Administrative Agent and the Lenders shall have received all fees and out-of-pocket expenses, if any, owing on the Closing Date pursuant to the Fee Letter, and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substantially simultaneously with effectiveness of this Agreement on the Closing Date to the extent (in the case of expenses) invoiced at least three (3) Business Days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the provisions of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xml:space="preserve">, for purposes of determining compliance with the conditions specified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4.2</w:t>
        <w:tab/>
      </w:r>
      <w:r>
        <w:rPr>
          <w:rFonts w:ascii="Times New Roman;Times;Serif" w:hAnsi="Times New Roman;Times;Serif"/>
          <w:b/>
          <w:i w:val="false"/>
          <w:caps w:val="false"/>
          <w:smallCaps w:val="false"/>
          <w:sz w:val="20"/>
        </w:rPr>
        <w:t>Conditions to All Extensions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 of each Lender to make any Extension of Credit hereunder is subject to the satisfaction of the following conditions precedent on the date of making such Extension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the doubt, the availability of the Initial Term Loans is subject solely to the satisfaction of the conditions precedent set forth in Section 4.3 on the Acquisition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Subject to an LCT Election, the representations and warranties made by the Credit Parties herein, in the other Credit Documents and which are contained in any certificate furnished at any time under or in connection herewith shall (i) with respect to representations and warranties that contain a materiality qualification, be true and correct and (ii) with respect to representations and warranties that do not contain a materiality qualification, be true and correct in all material respects, in each case on and as of the date of such Extension of Credit as if made on and as of such date except for any representation or warranty made as of an earlier date, which representation and warranty shall remain true and correct as of such earlier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Default or Event of Default</w:t>
      </w:r>
      <w:r>
        <w:rPr>
          <w:rFonts w:ascii="Times New Roman;Times;Serif" w:hAnsi="Times New Roman;Times;Serif"/>
          <w:b w:val="false"/>
          <w:i w:val="false"/>
          <w:caps w:val="false"/>
          <w:smallCaps w:val="false"/>
          <w:sz w:val="20"/>
        </w:rPr>
        <w:t>. Subject to an LCT Election, no Default or Event of Default shall have occurred and be continuing on such date or after giving effect to the Extension of Credit to be made on such date unless such Default or Event of Default shall have been waived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Compliance with Commitments</w:t>
      </w:r>
      <w:r>
        <w:rPr>
          <w:rFonts w:ascii="Times New Roman;Times;Serif" w:hAnsi="Times New Roman;Times;Serif"/>
          <w:b w:val="false"/>
          <w:i w:val="false"/>
          <w:caps w:val="false"/>
          <w:smallCaps w:val="false"/>
          <w:sz w:val="20"/>
        </w:rPr>
        <w:t xml:space="preserve">. Immediately after giving effect to the making of any such Extension of Credit (and the application of the proceeds thereof), (i) the sum of the aggregate principal amount of outstanding Revolving Loans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outstanding Swingline Loans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outstanding LOC Obligations shall not exceed the aggregate amount of the Revolving Commitments then in effect, (ii) the outstanding LOC Obligations shall not exceed the aggregate amount of the Letter of Credit Commitments, and (iii) the outstanding Swingline Loans shall not exceed the Swingline Committed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The Administrative Agent shall have received a Notice of Borrowing with respect to such Extension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Additional Conditions to Revolving Loans</w:t>
      </w:r>
      <w:r>
        <w:rPr>
          <w:rFonts w:ascii="Times New Roman;Times;Serif" w:hAnsi="Times New Roman;Times;Serif"/>
          <w:b w:val="false"/>
          <w:i w:val="false"/>
          <w:caps w:val="false"/>
          <w:smallCaps w:val="false"/>
          <w:sz w:val="20"/>
        </w:rPr>
        <w:t xml:space="preserve">. If a Revolving Loan is requested, all conditions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Additional Conditions to Letters of Credit</w:t>
      </w:r>
      <w:r>
        <w:rPr>
          <w:rFonts w:ascii="Times New Roman;Times;Serif" w:hAnsi="Times New Roman;Times;Serif"/>
          <w:b w:val="false"/>
          <w:i w:val="false"/>
          <w:caps w:val="false"/>
          <w:smallCaps w:val="false"/>
          <w:sz w:val="20"/>
        </w:rPr>
        <w:t xml:space="preserve">. If the issuance of a Letter of Credit is requested, (i) all conditions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shall have been satisfied and (ii) there shall exist no Lender that is a Defaulting Lender unless the Issuing Lender has entered into satisfactory arrangements with the Borrowers or such Defaulting Lender to eliminate the Issuing Lender’s risk with respect to such Defaulting Lender’s LOC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Additional Conditions to Swingline Loans</w:t>
      </w:r>
      <w:r>
        <w:rPr>
          <w:rFonts w:ascii="Times New Roman;Times;Serif" w:hAnsi="Times New Roman;Times;Serif"/>
          <w:b w:val="false"/>
          <w:i w:val="false"/>
          <w:caps w:val="false"/>
          <w:smallCaps w:val="false"/>
          <w:sz w:val="20"/>
        </w:rPr>
        <w:t xml:space="preserve">. If a Swingline Loan is requested, (i) all conditions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have been satisfied and (ii) there shall exist no Lender that is a Defaulting Lender unless the Swingline Lender has entered into satisfactory arrangements with the Borrowers or such Defaulting Lender to eliminate the Swingline Lender’s risk with respect to such Defaulting Lender’s in respect of its Swingline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Incremental Facilities</w:t>
      </w:r>
      <w:r>
        <w:rPr>
          <w:rFonts w:ascii="Times New Roman;Times;Serif" w:hAnsi="Times New Roman;Times;Serif"/>
          <w:b w:val="false"/>
          <w:i w:val="false"/>
          <w:caps w:val="false"/>
          <w:smallCaps w:val="false"/>
          <w:sz w:val="20"/>
        </w:rPr>
        <w:t xml:space="preserve">. If a Revolving Facility Increase or an Incremental Term Facility is requested, all conditions set forth in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Refinancing Facilities</w:t>
      </w:r>
      <w:r>
        <w:rPr>
          <w:rFonts w:ascii="Times New Roman;Times;Serif" w:hAnsi="Times New Roman;Times;Serif"/>
          <w:b w:val="false"/>
          <w:i w:val="false"/>
          <w:caps w:val="false"/>
          <w:smallCaps w:val="false"/>
          <w:sz w:val="20"/>
        </w:rPr>
        <w:t xml:space="preserve">. If a Refinancing Revolving Facility or a Refinancing Term Facility is requested, all conditions set forth in the definition of Credit Agreement Refinancing Indebtedness shall have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 certificate of a Responsible Officer delivered to the Administrative Agent at least five (5) Business Days prior to the incurrence of such Credit Agreement Refinancing Indebtedness, together with a reasonably detailed description of the material terms and conditions of such Credit Agreement Refinancing Indebtedness or drafts of the documentation relating thereto, stating that the Lead Borrower has determined in good faith that such terms and conditions satisfy the requirement of such definition shall be conclusive evidence thereof unless the Administrative Agent notifies the Lead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such five (5) Business Day period that it disagrees with such determination (including a description of the basis upon which it disagrees).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request for an Extension of Credit and each acceptance by the Borrowers of any such Extension of Credit shall be deemed to constitute representations and warranties by the Credit Parties as of the date of such Extension of Credit that the conditions set forth above in paragraphs (a) through (g), as applicable,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4.3</w:t>
        <w:tab/>
      </w:r>
      <w:r>
        <w:rPr>
          <w:rFonts w:ascii="Times New Roman;Times;Serif" w:hAnsi="Times New Roman;Times;Serif"/>
          <w:b/>
          <w:i w:val="false"/>
          <w:caps w:val="false"/>
          <w:smallCaps w:val="false"/>
          <w:sz w:val="20"/>
        </w:rPr>
        <w:t>Conditions to Funding of Initial Term Loans on Acquisition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 of each Lender to make Initial Term Loans on the Acquisition Closing Date is subject to (and only to) the satisfaction of the following conditions precedent;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Initial Term Loan Commitments and the obligation of each Lender to make Initial Term Loans shall automatically terminate if the following conditions precedent are not satisfied prior to the Acquisition Outside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Execution of Credit Documents</w:t>
      </w:r>
      <w:r>
        <w:rPr>
          <w:rFonts w:ascii="Times New Roman;Times;Serif" w:hAnsi="Times New Roman;Times;Serif"/>
          <w:b w:val="false"/>
          <w:i w:val="false"/>
          <w:caps w:val="false"/>
          <w:smallCaps w:val="false"/>
          <w:sz w:val="20"/>
        </w:rPr>
        <w:t>. The Administrative Agent shall have received for the account of each Term Loan Lender requesting a promissory note, a duly executed Term Loan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Personal Property Collateral</w:t>
      </w:r>
      <w:r>
        <w:rPr>
          <w:rFonts w:ascii="Times New Roman;Times;Serif" w:hAnsi="Times New Roman;Times;Serif"/>
          <w:b w:val="false"/>
          <w:i w:val="false"/>
          <w:caps w:val="false"/>
          <w:smallCaps w:val="false"/>
          <w:sz w:val="20"/>
        </w:rPr>
        <w:t>. The Administrative Agent shall have received, subject to the Perfection Requirements, stock certificates, if any, evidencing the Equity Interests of the Company pledged to the Administrative Agent pursuant to the Pledge Agreement and undated stock or transfer powers duly executed in blank.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Specified Representations shall be true and correct in all material respects (or, in the case of Specified Representations qualified by materiality, in all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Specified Acquisition Agreement Representations shall be true and correct to the extent required by the terms of the definition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Solvency Certificate</w:t>
      </w:r>
      <w:r>
        <w:rPr>
          <w:rFonts w:ascii="Times New Roman;Times;Serif" w:hAnsi="Times New Roman;Times;Serif"/>
          <w:b w:val="false"/>
          <w:i w:val="false"/>
          <w:caps w:val="false"/>
          <w:smallCaps w:val="false"/>
          <w:sz w:val="20"/>
        </w:rPr>
        <w:t>. The Administrative Agent shall have received an officer’s certificate prepared by the chief financial officer or other Authorized Officer approved by the Administrative Agent of the Lead Borrower as to the financial condition, solvency and related matters of the Lead Borrower and its Subsidiaries, after giving effect to the Transactions to occur on the Acquisition Closing Date and the funding of the Initial Term Loans, in substantially the form of Exhibit 4.1(g)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The Administrative Agent shall have received a Notice of Borrowing with respect to the Loans to be made on the Acquisition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Administrative Agent and the Lenders shall have received copies of the Historical Financial Statements and the Pro Forma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June 21, 2024, there shall not have occurred any Company Material Adverse Effect that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Closing Certificate</w:t>
      </w:r>
      <w:r>
        <w:rPr>
          <w:rFonts w:ascii="Times New Roman;Times;Serif" w:hAnsi="Times New Roman;Times;Serif"/>
          <w:b w:val="false"/>
          <w:i w:val="false"/>
          <w:caps w:val="false"/>
          <w:smallCaps w:val="false"/>
          <w:sz w:val="20"/>
        </w:rPr>
        <w:t>. The Administrative Agent shall have received a certificate or certificates executed by an Authorized Officer of the Lead Borrower, dated the Acquisition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substantially in the form of Exhibit 4.1(l) certifying as to satisfaction of the conditions referred to in </w:t>
      </w:r>
      <w:r>
        <w:rPr>
          <w:rFonts w:ascii="Times New Roman;Times;Serif" w:hAnsi="Times New Roman;Times;Serif"/>
          <w:b w:val="false"/>
          <w:i w:val="false"/>
          <w:caps w:val="false"/>
          <w:smallCaps w:val="false"/>
          <w:sz w:val="20"/>
          <w:u w:val="single"/>
        </w:rPr>
        <w:t>Section 4.3 (e)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The Acquisition shall have been consummated, or substantially contemporaneously with the borrowing of the Initial Term Loans, shall be consummated, in all material respects in accordance with the terms of the Acquisition Agreement, without giving effect to any amendments, consents or waivers thereto by the Lead Borrower that are materially adverse to JPMorgan Chase Bank, N.A., in its capacity as an Initial Term Loan Lender (“</w:t>
      </w:r>
      <w:r>
        <w:rPr>
          <w:rFonts w:ascii="Times New Roman;Times;Serif" w:hAnsi="Times New Roman;Times;Serif"/>
          <w:b w:val="false"/>
          <w:i w:val="false"/>
          <w:caps w:val="false"/>
          <w:smallCaps w:val="false"/>
          <w:sz w:val="20"/>
          <w:u w:val="single"/>
        </w:rPr>
        <w:t>JPMCB</w:t>
      </w:r>
      <w:r>
        <w:rPr>
          <w:rFonts w:ascii="Times New Roman;Times;Serif" w:hAnsi="Times New Roman;Times;Serif"/>
          <w:b w:val="false"/>
          <w:i w:val="false"/>
          <w:caps w:val="false"/>
          <w:smallCaps w:val="false"/>
          <w:sz w:val="20"/>
        </w:rPr>
        <w:t>”), without the prior consent of JPMCB (such consent not to be unreasonably withheld, delayed or conditioned) (it being understood that (a) any reduction in the purchase price of, or consideration for, the Acquisition is not material and adverse to the interests of JPMCB or the other Lenders, but any reduction shall be applied to reduce the Initial Term Loan Commitments and (b) any amendment to the definition of “Company Material Adverse Effect” is materially adverse to the interests of JPMCB and the other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Company Refinancing</w:t>
      </w:r>
      <w:r>
        <w:rPr>
          <w:rFonts w:ascii="Times New Roman;Times;Serif" w:hAnsi="Times New Roman;Times;Serif"/>
          <w:b w:val="false"/>
          <w:i w:val="false"/>
          <w:caps w:val="false"/>
          <w:smallCaps w:val="false"/>
          <w:sz w:val="20"/>
        </w:rPr>
        <w:t>. The Company Refinancing shall have been consummated, or substantially contemporaneously with the borrowing of the Initial Term Loans, shall be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PATRIOT Act, Beneficial Ownership Regulation, etc</w:t>
      </w:r>
      <w:r>
        <w:rPr>
          <w:rFonts w:ascii="Times New Roman;Times;Serif" w:hAnsi="Times New Roman;Times;Serif"/>
          <w:b w:val="false"/>
          <w:i w:val="false"/>
          <w:caps w:val="false"/>
          <w:smallCaps w:val="false"/>
          <w:sz w:val="20"/>
        </w:rPr>
        <w:t>. So long as requested at least ten (10) Business Days prior to the Acquisition Closing Date, the Administrative Agent shall have received, at least two (2) Business Days prior to the Acquisition Closing Date, documentation and other information requested by the Administrative Agent in order to comply with requirements of the Patriot Act, applicable “know your customer” and anti-money laundering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The Administrative Agent and the Lenders shall have received all fees and out-of-pocket expenses, if any, owing on the Acquisition Closing Date pursuant to the Fee Letter, the Original Fee Letter and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substantially simultaneously with the initial borrowing under the Term Loan Facility (which amounts may, at the option of the Borrowers, be offset against the proceeds of the Initial Term Loans) to the extent (in the case of expenses) invoiced at least three (3) Business Days prior to the Acquisition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any other Credit Document or any other documentation governing the Transactions to the contrary, (a) the only representations the accuracy of which shall be a condition to the availability and/or initial funding of the Initial Term Loans on the Acquisition Closing Date will be (i) the Specified Acquisition Agreement Representations and (ii) the Specified Representations, and (b) the terms of the Credit Documents shall be in a form such that they do not impair the availability and/or initial funding of the Initial Term Loans on the Acquisition Closing Date if the conditions set forth 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are satisfied (or waived by the Administrative Agent) (it being understood and agreed that (I) to the extent any lien search or security interest in the Collateral (other than any Collateral the security interest in which may be perfected by satisfying the Perfection Requirements) is not or cannot be provided and/or perfected on the Acquisition Closing Date after the Credit Parties’ use of commercially reasonable efforts to do so, without undue burden or expense, the provision and/or perfection of such security interest(s) will not constitute a condition precedent to the availability and/or initial funding of the Initial Term Loans on the Acquisition Closing Date, but such lien search and/or security interest(s) will be required to be provided and/or perfected after the Acquisition Closing Date pursuant to </w:t>
      </w:r>
      <w:r>
        <w:rPr>
          <w:rFonts w:ascii="Times New Roman;Times;Serif" w:hAnsi="Times New Roman;Times;Serif"/>
          <w:b w:val="false"/>
          <w:i w:val="false"/>
          <w:caps w:val="false"/>
          <w:smallCaps w:val="false"/>
          <w:sz w:val="20"/>
          <w:u w:val="single"/>
        </w:rPr>
        <w:t>Schedule 5.15</w:t>
      </w:r>
      <w:r>
        <w:rPr>
          <w:rFonts w:ascii="Times New Roman;Times;Serif" w:hAnsi="Times New Roman;Times;Serif"/>
          <w:b w:val="false"/>
          <w:i w:val="false"/>
          <w:caps w:val="false"/>
          <w:smallCaps w:val="false"/>
          <w:sz w:val="20"/>
        </w:rPr>
        <w:t xml:space="preserve"> (which schedule may be updated on or prior to the Acquisition Closing Date with the consent of the Administrative Agent and the Lead Borrower) and (II) there are no conditions (express or implied) to the availability and/or initial funding of the Initial Term Loans on the Acquisition Closing Date, including compliance with the terms of the Fee Letter or the Credit Documents, other than those that are expressly set forth 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and such conditions shall be subject in all respects to the provisions of this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the provisions of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xml:space="preserve">, for purposes of determining compliance with the conditions specified 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Acquisition Closing Date specifying its objection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4"/>
        </w:rPr>
        <w:t>Article V</w:t>
      </w:r>
      <w:r>
        <w:rPr>
          <w:rFonts w:ascii="Times New Roman;Times;Serif" w:hAnsi="Times New Roman;Times;Serif"/>
          <w:b/>
          <w:i w:val="false"/>
          <w:caps/>
          <w:sz w:val="20"/>
        </w:rPr>
        <w:br/>
        <w:br/>
        <w:t>AFFIRMATIVE 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Borrower hereby covenants and agrees that on the Closing Date, and thereafter (a) for so long as this Agreement is in effect, (b) until the Commitments have terminated, and (c)  the Credit Party Obligations and all other amounts owing to the Administrative Agent or any Lender hereunder are paid in full in cash (other than contingent indemnification obligations for which no claim has been made), the Lead Borrower shall, and shall cause each of its Restricted Subsidiaries,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5.1</w:t>
        <w:tab/>
      </w:r>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the Administrative Agent (who shall provide a copy to each of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Financial Statements</w:t>
      </w:r>
      <w:r>
        <w:rPr>
          <w:rFonts w:ascii="Times New Roman;Times;Serif" w:hAnsi="Times New Roman;Times;Serif"/>
          <w:b w:val="false"/>
          <w:i w:val="false"/>
          <w:caps w:val="false"/>
          <w:smallCaps w:val="false"/>
          <w:sz w:val="20"/>
        </w:rPr>
        <w:t xml:space="preserve">. As soon as available and in any event no later than ninety (90) days after the end of each fiscal year of the Lead Borrower, a copy of the Consolidated balance sheet of the Lead Borrower and its Subsidiaries as of the end of such fiscal year and the related Consolidated statements of income and retained earnings and of cash flows of the Lead Borrower and its Subsidiaries for such fiscal year, which shall be audited by and accompanied by an opinion from Eisner Amper LLP or another firm of independent certified public accountants of nationally recognized standing reasonably acceptable to the Administrative Agent, setting forth in each case in comparative form the figures for the previous year, reported on without a “going concern” or like qualification or exception (except with respect to or as a result of impending maturity of the Loans becoming due and payable by its terms, any change in accounting practices or policies due to changes in GAAP that is required or approved by such auditors or any prospective non-compliance with the Financial Covenants then in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financial statements required pursuant to this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shall be delivered with customary “management’s discussion and analysis of the financial condition and results of operations” with respect to the periods covered by such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Quarterly Financial Statements</w:t>
      </w:r>
      <w:r>
        <w:rPr>
          <w:rFonts w:ascii="Times New Roman;Times;Serif" w:hAnsi="Times New Roman;Times;Serif"/>
          <w:b w:val="false"/>
          <w:i w:val="false"/>
          <w:caps w:val="false"/>
          <w:smallCaps w:val="false"/>
          <w:sz w:val="20"/>
        </w:rPr>
        <w:t xml:space="preserve">. As soon as available and in any event no later than forty-five (45) days after the end of each fiscal quarter of the Lead Borrower (excluding the last fiscal quarter of the Lead Borrower’s fiscal year), a copy of the Consolidated balance sheet of the Lead Borrower and its Subsidiaries as of the end of such period and related Consolidated statements of income and retained earnings and of cash flows for the Lead Borrower and its Subsidiaries for such quarterly period and for the portion of the fiscal year ending with such period, in each case setting forth in comparative form Consolidated figures for the corresponding period or periods of the preceding fiscal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financial statements required pursuant to this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shall be delivered with customary “management’s discussion and analysis of the financial condition and results of operations” with respect to the periods covered by such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Unrestricted Subsidiary Consolidating Information</w:t>
      </w:r>
      <w:r>
        <w:rPr>
          <w:rFonts w:ascii="Times New Roman;Times;Serif" w:hAnsi="Times New Roman;Times;Serif"/>
          <w:b w:val="false"/>
          <w:i w:val="false"/>
          <w:caps w:val="false"/>
          <w:smallCaps w:val="false"/>
          <w:sz w:val="20"/>
        </w:rPr>
        <w:t xml:space="preserve">. Simultaneously with the delivery of each set of Consolidated financial statements referred to in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above for any Restricted Group Reporting Period, the related unaudited consolidating financial statements reflecting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necessary to eliminate the accounts of Unrestricted Subsidiaries (if any) (which may in any case be in footnote form only) from such Consolidated financial statements;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Annual Operating Budget and Cash Flow</w:t>
      </w:r>
      <w:r>
        <w:rPr>
          <w:rFonts w:ascii="Times New Roman;Times;Serif" w:hAnsi="Times New Roman;Times;Serif"/>
          <w:b w:val="false"/>
          <w:i w:val="false"/>
          <w:caps w:val="false"/>
          <w:smallCaps w:val="false"/>
          <w:sz w:val="20"/>
        </w:rPr>
        <w:t>. As soon as available, but in any event within ninety (90) days after the end of each fiscal year, beginning with the fiscal year ending December 31, 2026, a copy of the detailed annual operating budget or plan including cash flow projections of the Lead Borrower and its Subsidiaries for the next four fiscal quarter period prepared on a monthly basis, in form and detail reasonably acceptable to the Administrative Agent, together with a summary of the material assumptions made in the preparation of such annual budget or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such financial statements delivered pursuant to subsections (a) and (b) above shall present fairly in all material respects the financial condition and results of operations of the Lead Borrower and its consolidated Subsidiaries on a Consolidated basis in accordance with GAAP consistently applied throughout the periods reflected therein (subject, in the case of interim statements, to normal recurring year-end audit adjustments and the absence of footnotes) and further accompanied by a description of, and an estimation of the effect on the financial statements on account of, a change, if any, in GAAP as provided in </w:t>
      </w:r>
      <w:r>
        <w:rPr>
          <w:rFonts w:ascii="Times New Roman;Times;Serif" w:hAnsi="Times New Roman;Times;Serif"/>
          <w:b w:val="false"/>
          <w:i w:val="false"/>
          <w:caps w:val="false"/>
          <w:smallCaps w:val="false"/>
          <w:sz w:val="20"/>
          <w:u w:val="single"/>
        </w:rPr>
        <w:t>Section 1.3(b)</w:t>
      </w:r>
      <w:r>
        <w:rPr>
          <w:rFonts w:ascii="Times New Roman;Times;Serif" w:hAnsi="Times New Roman;Times;Serif"/>
          <w:b w:val="false"/>
          <w:i w:val="false"/>
          <w:caps w:val="false"/>
          <w:smallCaps w:val="false"/>
          <w:sz w:val="20"/>
        </w:rPr>
        <w:t xml:space="preserve"> since the date of the Borrower Historical Financial Statements that had a material impact on such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 long as the Lead Borrower is required to file periodic reports under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15(d)</w:t>
      </w:r>
      <w:r>
        <w:rPr>
          <w:rFonts w:ascii="Times New Roman;Times;Serif" w:hAnsi="Times New Roman;Times;Serif"/>
          <w:b w:val="false"/>
          <w:i w:val="false"/>
          <w:caps w:val="false"/>
          <w:smallCaps w:val="false"/>
          <w:sz w:val="20"/>
        </w:rPr>
        <w:t xml:space="preserve"> of the Exchange Act, the Lead Borrower may satisfy its obligation under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and to deliver the financial statements referred to in clauses (a) and (b) above by delivering such information or financial statements by electronic mail to such e-mail address as the Administrative Agent (who shall provide a copy to the Lenders) shall have provided to the Lead Borrower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information and financial statements shall be deemed to have been delivered on the date on which the Lead Borrower posts such information or financial statements, or provides a link thereto, on the Lead Borrower’s website on the Internet at https://investor.anipharmaceuticals.com/financials/sec-filings/default.aspx (or any new address identified by the Lead Borrower) or at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Borrower hereby acknowledges that (a) the Administrative Agent and/or the Arrangers will make available to the Lenders and each Issuing Lender materials and/or information provided by or on behalf of the Borrowers hereunder (collectively, “</w:t>
      </w:r>
      <w:r>
        <w:rPr>
          <w:rFonts w:ascii="Times New Roman;Times;Serif" w:hAnsi="Times New Roman;Times;Serif"/>
          <w:b w:val="false"/>
          <w:i w:val="false"/>
          <w:caps w:val="false"/>
          <w:smallCaps w:val="false"/>
          <w:sz w:val="20"/>
          <w:u w:val="single"/>
        </w:rPr>
        <w:t>Borrower Materials</w:t>
      </w:r>
      <w:r>
        <w:rPr>
          <w:rFonts w:ascii="Times New Roman;Times;Serif" w:hAnsi="Times New Roman;Times;Serif"/>
          <w:b w:val="false"/>
          <w:i w:val="false"/>
          <w:caps w:val="false"/>
          <w:smallCaps w:val="false"/>
          <w:sz w:val="20"/>
        </w:rPr>
        <w:t>”) by posting the Borrower Materials on the Platform and (b) certain of the Lenders (each, a “</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may have personnel who do not wish to receive material non-public information (within the meaning of the United States federal securities laws, “</w:t>
      </w:r>
      <w:r>
        <w:rPr>
          <w:rFonts w:ascii="Times New Roman;Times;Serif" w:hAnsi="Times New Roman;Times;Serif"/>
          <w:b w:val="false"/>
          <w:i w:val="false"/>
          <w:caps w:val="false"/>
          <w:smallCaps w:val="false"/>
          <w:sz w:val="20"/>
          <w:u w:val="single"/>
        </w:rPr>
        <w:t>MNPI</w:t>
      </w:r>
      <w:r>
        <w:rPr>
          <w:rFonts w:ascii="Times New Roman;Times;Serif" w:hAnsi="Times New Roman;Times;Serif"/>
          <w:b w:val="false"/>
          <w:i w:val="false"/>
          <w:caps w:val="false"/>
          <w:smallCaps w:val="false"/>
          <w:sz w:val="20"/>
        </w:rPr>
        <w:t xml:space="preserve">”) with respect to the Lead Borrower or its Affiliates, or the respective securities of any of the foregoing. The Lead Borrower hereby agrees that it will use commercially reasonable efforts to specifically label “Private — Contains Non-Public Information” that portion of the Borrower Materials delivered in connection with this Agreement that will contain any MNPI (although it may be sensitive and proprietary) concerning the Lead Borrower or its Affiliates or the respective securities of any of the foregoing (provided, however, that to the extent such Borrower Materials constitute confidential information, they shall be required to be treated as set forth in </w:t>
      </w:r>
      <w:r>
        <w:rPr>
          <w:rFonts w:ascii="Times New Roman;Times;Serif" w:hAnsi="Times New Roman;Times;Serif"/>
          <w:b w:val="false"/>
          <w:i w:val="false"/>
          <w:caps w:val="false"/>
          <w:smallCaps w:val="false"/>
          <w:sz w:val="20"/>
          <w:u w:val="single"/>
        </w:rPr>
        <w:t>Section 9.28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5.2</w:t>
        <w:tab/>
      </w:r>
      <w:r>
        <w:rPr>
          <w:rFonts w:ascii="Times New Roman;Times;Serif" w:hAnsi="Times New Roman;Times;Serif"/>
          <w:b/>
          <w:i w:val="false"/>
          <w:caps w:val="false"/>
          <w:smallCaps w:val="false"/>
          <w:sz w:val="20"/>
        </w:rPr>
        <w:t xml:space="preserve"> Certificates;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the Administrative Agent and each of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Together with the delivery of financial statements under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 certificate of the Chief Financial Officer (or Authorized Officer performing the duties customarily performed by the Chief Financial Officer) of the Lead Borrower substantially in the form of Exhibit 5.2(a) hereto or any other form reasonably approved by the Administrative Agent (a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(i) certifying as to whether a Default or an Event of Default has occurred and, if a Default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has occurred, specifying the details thereof and any action taken or proposed to be taken with respect thereto and (ii) setting forth reasonably detailed calculations of Consolidated EBITDA, the First Lien Net Leverage Ratio and the Interest Coverage Ratio, in each case, as of the last day of the fiscal year or fiscal quarter to which such financial statements relate and for the Test Period ending on such date and (iii) setting forth a list identifying each Subsidiary of the Lead Borrower as a Restricted Subsidiary or an Unrestricted Subsidiary and identifying any Restricted Subsidiary that has become, or ceased to be, a Material Subsidiary or an Excluded Subsidiary, in each case, as of the date of delivery of such Compliance Certificate or confirming that there has been no change in such information since the date of delivery of the most recent Compliance Certificate delivered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Reports; SEC Filings; Regulatory Reports; Press Releases; Etc</w:t>
      </w:r>
      <w:r>
        <w:rPr>
          <w:rFonts w:ascii="Times New Roman;Times;Serif" w:hAnsi="Times New Roman;Times;Serif"/>
          <w:b w:val="false"/>
          <w:i w:val="false"/>
          <w:caps w:val="false"/>
          <w:smallCaps w:val="false"/>
          <w:sz w:val="20"/>
        </w:rPr>
        <w:t xml:space="preserve">. Promptly upon their becoming available, (i) copies of all reports (other than those provided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and those which are of a promotional or non-material nature) and other financial information which the Lead Borrower sends to its shareholders, (ii) copies of all reports and all registration statements and prospectuses, if any, which any Credit Party may make to, or file with, the SEC (or any successor or analogous Governmental Authority) or any securities exchange or other private regulatory authority, (iii) all material regulatory reports and (iv) all press releases and other statements made available by any of the Credit Parties to the public concerning material developments in the business of any of the Credit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General Information</w:t>
      </w:r>
      <w:r>
        <w:rPr>
          <w:rFonts w:ascii="Times New Roman;Times;Serif" w:hAnsi="Times New Roman;Times;Serif"/>
          <w:b w:val="false"/>
          <w:i w:val="false"/>
          <w:caps w:val="false"/>
          <w:smallCaps w:val="false"/>
          <w:sz w:val="20"/>
        </w:rPr>
        <w:t>. Promptly, such additional financial and other information as the Administrative Agent, on behalf of any Lender, may from time to time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5.3</w:t>
        <w:tab/>
      </w:r>
      <w:r>
        <w:rPr>
          <w:rFonts w:ascii="Times New Roman;Times;Serif" w:hAnsi="Times New Roman;Times;Serif"/>
          <w:b/>
          <w:i w:val="false"/>
          <w:caps w:val="false"/>
          <w:smallCaps w:val="false"/>
          <w:sz w:val="20"/>
        </w:rPr>
        <w:t>Payment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discharge or otherwise satisfy at or before maturity or before they become delinquent, as the case may be, subject, where applicable, to specified grace periods, (a) all of its federal and other material taxes that are due and payable and (b) any additional material costs that are imposed as a result of any failure to so pay, discharge or otherwise satisfy such taxes, except when the amount or validity of any such taxes is currently being contested in good faith by appropriate proceedings and reserves, if applicable, in conformity with GAAP with respect thereto have been provided on the books of the Lead Borrower or its applicable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5.4</w:t>
        <w:tab/>
      </w:r>
      <w:r>
        <w:rPr>
          <w:rFonts w:ascii="Times New Roman;Times;Serif" w:hAnsi="Times New Roman;Times;Serif"/>
          <w:b/>
          <w:i w:val="false"/>
          <w:caps w:val="false"/>
          <w:smallCaps w:val="false"/>
          <w:sz w:val="20"/>
        </w:rPr>
        <w:t>Conduct of Business and Maintenance of Existence.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expressly permitted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continue to engage in business of the same general type as now conducted by it on the Closing Date and preserve, renew and keep in full force and effect its corporate or other formative existence and good standing, and take all reasonable action to maintain all rights, privileges and franchises necessary or desirable in the normal conduct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5.5</w:t>
        <w:tab/>
      </w:r>
      <w:r>
        <w:rPr>
          <w:rFonts w:ascii="Times New Roman;Times;Serif" w:hAnsi="Times New Roman;Times;Serif"/>
          <w:b/>
          <w:i w:val="false"/>
          <w:caps w:val="false"/>
          <w:smallCaps w:val="false"/>
          <w:sz w:val="20"/>
        </w:rPr>
        <w:t>Maintenance of Property;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Keep all material property useful and necessary in its business in good working order and condition (ordinary wear and tear and obsolescence and casualty resulting in a Recovery Event excepted).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Maintain with financially sound and reputable insurance companies liability, casualty, property and business interruption insurance (including, without limitation, insurance with respect to its tangible Collateral) in at least such amounts and against at least such risks as are usually insured against in the same general area by companies engaged in the same or a similar business; and furnish to the Administrative Agent, upon the request of the Administrative Agent, full information as to the insurance carried. The Administrative Agent shall be named (i) as lenders’ loss payee, as its interest may appear with respect to any property insurance, and (ii) as additional insured, as its interest may appear, with respect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liability insurance, and each provider of any such insurance shall agree, by endorsement upon the policy or policies issued by it or by independent instruments to be furnished to the Administrative Agent, that it will give the Administrative Agent thirty (30) days (or ten (10) days in the case of non-payment) prior written notice before any such policy or policies shall be altered or canceled, and such policies shall provide that no act or default of the Lead Borrower or any of its Restricted Subsidiaries or any other Person shall affect the rights of the Administrative Agent or the Lenders under such policy or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of any material loss, damage to or destruction of the Collateral of any Credit Party, such Credit Party shall promptly give written notice thereof to the Administrative Agent generally describing the nature and extent of such damage or destruction.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5.6</w:t>
        <w:tab/>
      </w:r>
      <w:r>
        <w:rPr>
          <w:rFonts w:ascii="Times New Roman;Times;Serif" w:hAnsi="Times New Roman;Times;Serif"/>
          <w:b/>
          <w:i w:val="false"/>
          <w:caps w:val="false"/>
          <w:smallCaps w:val="false"/>
          <w:sz w:val="20"/>
        </w:rPr>
        <w:t>Maintenance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 proper books, records and accounts in which full, true and correct entries in conformity with GAAP and all Requirements of Law shall be made of all dealings and transactions in relation to its businesses and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5.7</w:t>
        <w:tab/>
      </w: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 notice in writing to the Administrative Agent (which shall promptly transmit such notice to each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after the Lead Borrower knows thereof, the occurrence of any Default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any litigation, or any investigation or proceeding known or threatened in writing to any Credit Party (i) affecting the Lead Borrower or any of its Restricted Subsidiaries which, individually or in the aggregate, could reasonably be expected to have a Material Adverse Effect or involve a monetary claim in excess of $10,000,000 or involving injunctions or requesting injunctive relief by or against the Lead Borrower or any Restricted Subsidiary, (ii) affecting or with respect to this Agreement, any other Credit Document or any security interest or Lien created thereunder, (iii) involving an environmental claim or potential liability under Environmental Laws which could reasonably be expected to have, individually or in the aggregate, a Material Adverse Effect, or (iv) by any Governmental Authority relating to the Lead Borrower or any Restricted Subsidiary thereof and alleging fraud, deception or willful misconduct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soon as possible and in any event within thirty (30) days after the Lead Borrower knows thereof: (i) the occurrence of any Reportable Event with respect to any ERISA Plan, a failure to make any required contribution to an ERISA Plan, the creation of any Lien in favor of the PBGC (other than a Permitted Lien) or an ERISA Plan or any withdrawal from, or the termination, Reorganization or Insolvency of, any Multiemployer Plan or (ii) the institution of proceedings or the taking of any other action by the PBGC or the Lead Borrower, any Commonly Controlled Entity or any Multiemployer Plan, with respect to the withdrawal from, or the terminating, Reorganization or Insolvency of, any ERISA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any other development or event which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 written notice of any warning letter (or letter of similar effect or import) from the FDA received by any Person (to the knowledge of the Lead Borrower in the case of a Person that is not the Lead Borrower or a Subsidiary) seeking the withdrawal, recall, suspension, import detention or seizure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Product in excess of $10,000,000 or which could reasonably be expected to have, in the aggregate, a Material Adverse Effect;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any change in the information provided in the Beneficial Ownership Certification that would result in a change to the list of beneficial owners identified in parts (c) and (d) of such certification.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notice pursuant to this Section shall be accompanied by a statement of an Authorized Officer setting forth details of the occurrence referred to therein and stating what action the Lead Borrower proposes to take with respect thereto. In the case of any notice of a Default or Event of Default, the Lead Borrower shall specify that such notice is a Default or Event of Default notice on the face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5.8</w:t>
        <w:tab/>
      </w:r>
      <w:r>
        <w:rPr>
          <w:rFonts w:ascii="Times New Roman;Times;Serif" w:hAnsi="Times New Roman;Times;Serif"/>
          <w:b/>
          <w:i w:val="false"/>
          <w:caps w:val="false"/>
          <w:smallCaps w:val="false"/>
          <w:sz w:val="20"/>
        </w:rPr>
        <w:t>Environmental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Comply in all material respects with all applicable Environmental Laws and obtain and comply in all material respects with and maintain any and all licenses, approvals, notifications, registrations or permits required by applicable Environmental Laws;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Conduct and complete all investigations, studies, sampling and testing, and all remedial, removal and other actions required under Environmental Laws and promptly comply with in all material respects all lawful orders and directives of all Governmental Authorities regarding Environmental Laws except to the extent that the same are being contested in good faith by appropriate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5.9</w:t>
        <w:tab/>
      </w:r>
      <w:r>
        <w:rPr>
          <w:rFonts w:ascii="Times New Roman;Times;Serif" w:hAnsi="Times New Roman;Times;Serif"/>
          <w:b/>
          <w:i w:val="false"/>
          <w:caps w:val="false"/>
          <w:smallCaps w:val="false"/>
          <w:sz w:val="20"/>
        </w:rPr>
        <w:t>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First Lien Net Leverage Ratio</w:t>
      </w:r>
      <w:r>
        <w:rPr>
          <w:rFonts w:ascii="Times New Roman;Times;Serif" w:hAnsi="Times New Roman;Times;Serif"/>
          <w:b w:val="false"/>
          <w:i w:val="false"/>
          <w:caps w:val="false"/>
          <w:smallCaps w:val="false"/>
          <w:sz w:val="20"/>
        </w:rPr>
        <w:t>. As of the last day of each fiscal quarter of the Lead Borrower (commencing with the fiscal quarter ending on or about December 31, 2024), not permit the First Lien Net Leverage Ratio to exceed 3.00 to 1.00 (the “</w:t>
      </w:r>
      <w:r>
        <w:rPr>
          <w:rFonts w:ascii="Times New Roman;Times;Serif" w:hAnsi="Times New Roman;Times;Serif"/>
          <w:b w:val="false"/>
          <w:i w:val="false"/>
          <w:caps w:val="false"/>
          <w:smallCaps w:val="false"/>
          <w:sz w:val="20"/>
          <w:u w:val="single"/>
        </w:rPr>
        <w:t>Maximum Leverage Financial Covenant</w:t>
      </w:r>
      <w:r>
        <w:rPr>
          <w:rFonts w:ascii="Times New Roman;Times;Serif" w:hAnsi="Times New Roman;Times;Serif"/>
          <w:b w:val="false"/>
          <w:i w:val="false"/>
          <w:caps w:val="false"/>
          <w:smallCaps w:val="false"/>
          <w:sz w:val="20"/>
        </w:rPr>
        <w:t>”). Notwithstanding the foregoing, in connection with any Material Acquisition, upon written notice from the Lead Borrower to the Administrative Agent, the Lead Borrower may elect to increase the maximum First Lien Net Leverage Ratio set forth above to 3.50 to 1.00 for four consecutive fiscal quarters following the consummation of such Material Acquisition, commencing with the fiscal quarter in which such Material Acquisition giving rise to such election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Minimum Interest Coverage Ratio</w:t>
      </w:r>
      <w:r>
        <w:rPr>
          <w:rFonts w:ascii="Times New Roman;Times;Serif" w:hAnsi="Times New Roman;Times;Serif"/>
          <w:b w:val="false"/>
          <w:i w:val="false"/>
          <w:caps w:val="false"/>
          <w:smallCaps w:val="false"/>
          <w:sz w:val="20"/>
        </w:rPr>
        <w:t>. As of the last day of each fiscal quarter of the Lead Borrower (commencing with the fiscal quarter ending on or about December 31, 2024), not permit the Interest Coverage Ratio to be less than 3.00 to 1.00 (the “</w:t>
      </w:r>
      <w:r>
        <w:rPr>
          <w:rFonts w:ascii="Times New Roman;Times;Serif" w:hAnsi="Times New Roman;Times;Serif"/>
          <w:b w:val="false"/>
          <w:i w:val="false"/>
          <w:caps w:val="false"/>
          <w:smallCaps w:val="false"/>
          <w:sz w:val="20"/>
          <w:u w:val="single"/>
        </w:rPr>
        <w:t>Minimum Interest Coverage Financial Covenant</w:t>
      </w:r>
      <w:r>
        <w:rPr>
          <w:rFonts w:ascii="Times New Roman;Times;Serif" w:hAnsi="Times New Roman;Times;Serif"/>
          <w:b w:val="false"/>
          <w:i w:val="false"/>
          <w:caps w:val="false"/>
          <w:smallCaps w:val="false"/>
          <w:sz w:val="20"/>
        </w:rPr>
        <w:t>” and together with the Maximum Leverage Financial Covenant, collectively, the “</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Specified Equity Contribution</w:t>
      </w:r>
      <w:r>
        <w:rPr>
          <w:rFonts w:ascii="Times New Roman;Times;Serif" w:hAnsi="Times New Roman;Times;Serif"/>
          <w:b w:val="false"/>
          <w:i w:val="false"/>
          <w:caps w:val="false"/>
          <w:smallCaps w:val="false"/>
          <w:sz w:val="20"/>
        </w:rPr>
        <w:t xml:space="preserve">. Notwithstanding the above, the parties hereto acknowledge and agree that, solely for purposes of calculations made in determining compliance with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any cash equity contribution (which equity shall be Qualified Equity Interests or other Equity Interests having terms reasonably satisfactory to the Administrative Agent (but excluding Disqualified Equity Interests)) made to the Lead Borrower by the holders of its Equity Interests following the request therefor by the Lead Borrower during the fiscal quarter or on or prior to the day that is ten (10) Business Days after the day on which financial statements are required to be delivered with respect to a fiscal year pursuant to Section 5.1(a) or a fiscal quarter pursuant to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as applicable (such date, the “</w:t>
      </w:r>
      <w:r>
        <w:rPr>
          <w:rFonts w:ascii="Times New Roman;Times;Serif" w:hAnsi="Times New Roman;Times;Serif"/>
          <w:b w:val="false"/>
          <w:i w:val="false"/>
          <w:caps w:val="false"/>
          <w:smallCaps w:val="false"/>
          <w:sz w:val="20"/>
          <w:u w:val="single"/>
        </w:rPr>
        <w:t>Cure Expiration Date</w:t>
      </w:r>
      <w:r>
        <w:rPr>
          <w:rFonts w:ascii="Times New Roman;Times;Serif" w:hAnsi="Times New Roman;Times;Serif"/>
          <w:b w:val="false"/>
          <w:i w:val="false"/>
          <w:caps w:val="false"/>
          <w:smallCaps w:val="false"/>
          <w:sz w:val="20"/>
        </w:rPr>
        <w:t>”), will be deemed to increase, dollar for dollar, Consolidated EBITDA for the purposes of determining compliance with the Financial Covenants contained herein at the end of such fiscal year or fiscal quarter and each applicable subsequent period (any such equity contribution, a “</w:t>
      </w:r>
      <w:r>
        <w:rPr>
          <w:rFonts w:ascii="Times New Roman;Times;Serif" w:hAnsi="Times New Roman;Times;Serif"/>
          <w:b w:val="false"/>
          <w:i w:val="false"/>
          <w:caps w:val="false"/>
          <w:smallCaps w:val="false"/>
          <w:sz w:val="20"/>
          <w:u w:val="single"/>
        </w:rPr>
        <w:t>Specified Equity Contribution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 any four (4) fiscal quarter period, there shall be at least two (2) fiscal quarters in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which no Specified Equity Contribution is made, (ii) there shall not be more than five (5) Specified Equity Contributions made during the term of this Agreement, (iii) the amount of any Specified Equity Contribution shall be no greater than the amount required to cause the Lead Borrower to be in compliance with the Financial Covenants set forth above, (iv) the amount of any Indebtedness repaid with the proceeds of the Specified Equity Contribution shall be disregarded for purposes of calculating the Financial Covenants set forth above for the fiscal quarter for which such Specified Equity Contribution is made and (v) a Specified Equity Contribution shall only be included in the computation of the Financial Covenants for purposes of determining compliance by the Lead Borrower with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and not for any other purpose under this Agreement (including, without limitation, any compliance with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set forth in the definition of Permitted Acquisition and in the determination of the availability of any baskets set forth in Article V or Article VI). Upon the making of a Specified Equity Contribution, the Financial Covenants in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shall be recalculated giving effect to the increase in Consolidated EBITDA;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subsection shall waive any Default or Event of Default that exists pursuant to </w:t>
      </w:r>
      <w:r>
        <w:rPr>
          <w:rFonts w:ascii="Times New Roman;Times;Serif" w:hAnsi="Times New Roman;Times;Serif"/>
          <w:b w:val="false"/>
          <w:i w:val="false"/>
          <w:caps w:val="false"/>
          <w:smallCaps w:val="false"/>
          <w:sz w:val="20"/>
          <w:u w:val="single"/>
        </w:rPr>
        <w:t>Section 5.9(a)</w:t>
      </w:r>
      <w:r>
        <w:rPr>
          <w:rFonts w:ascii="Times New Roman;Times;Serif" w:hAnsi="Times New Roman;Times;Serif"/>
          <w:b w:val="false"/>
          <w:i w:val="false"/>
          <w:caps w:val="false"/>
          <w:smallCaps w:val="false"/>
          <w:sz w:val="20"/>
        </w:rPr>
        <w:t xml:space="preserve"> until such recalculation. If, after giving effect to such recalculation, the Lead Borrower is in compliance with the Financial Covenants, the Lead Borrower shall be deemed to have satisfied the requirements of the Financial Covenants as of the relevant date of determination with the same effect as though there had been no failure to comply therewith at such date and the applicable Default or Event of Default that had occurred shall be deemed waived and not to have occurred for all purposes of this Agreement and the other Credit Documents. Notwithstanding anything herein to the contrary, in the event that the Lead Borrower fails to comply with the requirements of the Financial Covenants as of the last day of any fiscal quarter of the Lead Borrower, until the receipt by the Lead Borrower of the applicable Specified Equity Contribution (with notice of such receipt having been delivered to the Administrative Agent) or the waiver of all Events of Default, the Revolving Lenders shall have no obligations to make Revolving Loans, the Swingline Lender shall have no obligations to make Swingline Loans and the Issuing Lender(s) shall have no obligation to issue or amend Letters of Credit, pending actual receipt in immediately available funds of the applicable Specified Equity Contribution. Notwithstanding anything herein to the contrary, neither the Administrative Agent nor any Lender shall exercise the right to accelerate the Loans or terminate the Commitments and none of the Administrative Agent, any Lender or any other Secured Party shall exercise any right to foreclose on or take possession of the Collateral or exercise any remedy solely on the basis of an Event of Default having occurred and being continuing with respect to the Financial Covenants, in each case, at any time prior to the expiration of the Cure Expiration Date (except to the extent that the Lead Borrower has confirmed in writing that it does not intend to provide the Specified Equity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5.10</w:t>
        <w:tab/>
      </w:r>
      <w:r>
        <w:rPr>
          <w:rFonts w:ascii="Times New Roman;Times;Serif" w:hAnsi="Times New Roman;Times;Serif"/>
          <w:b/>
          <w:i w:val="false"/>
          <w:caps w:val="false"/>
          <w:smallCaps w:val="false"/>
          <w:sz w:val="20"/>
        </w:rPr>
        <w:t>Additional Guarantors.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Lead Borrower will cause each of its Subsidiaries (other than Excluded Subsidiaries), whether newly formed, after acquired or otherwise existing to promptly (and in any event within thirty (30) days after such Subsidiary is formed or acquired (or such longer period of time as agreed to by the Administrative Agent in its reasonable discretion)) become a Guarantor hereunder by way of execution of a Joinder Agreement. In connection therewith, the Lead Borrower shall give prompt notice to the Administrative Agent after creating a Subsidiary or acquiring the Equity Interests of any other Person. In connection with the foregoing, the Lead Borrower shall comply with the requirements of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and shall deliver to the Administrative Agent, with respect to each new Guarantor to the extent applicable, substantially the same documentation required pursuant to </w:t>
      </w:r>
      <w:r>
        <w:rPr>
          <w:rFonts w:ascii="Times New Roman;Times;Serif" w:hAnsi="Times New Roman;Times;Serif"/>
          <w:b w:val="false"/>
          <w:i w:val="false"/>
          <w:caps w:val="false"/>
          <w:smallCaps w:val="false"/>
          <w:sz w:val="20"/>
          <w:u w:val="single"/>
        </w:rPr>
        <w:t>Sections 4.1(b)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and, upon the reasonable request of the Administrative Agent, substantially the same documentation required pursuant to </w:t>
      </w:r>
      <w:r>
        <w:rPr>
          <w:rFonts w:ascii="Times New Roman;Times;Serif" w:hAnsi="Times New Roman;Times;Serif"/>
          <w:b w:val="false"/>
          <w:i w:val="false"/>
          <w:caps w:val="false"/>
          <w:smallCaps w:val="false"/>
          <w:sz w:val="20"/>
          <w:u w:val="single"/>
        </w:rPr>
        <w:t>Sections 4.1(c)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5.11</w:t>
        <w:tab/>
      </w:r>
      <w:r>
        <w:rPr>
          <w:rFonts w:ascii="Times New Roman;Times;Serif" w:hAnsi="Times New Roman;Times;Serif"/>
          <w:b/>
          <w:i w:val="false"/>
          <w:caps w:val="false"/>
          <w:smallCaps w:val="false"/>
          <w:sz w:val="20"/>
        </w:rPr>
        <w:t>Compliance with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its Organizational Documents and all Requirements of Law and orders (including Environmental Laws and Health Care Laws), and all applicable restrictions imposed by all Governmental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Authorities, applicable to it and the Collateral if noncompliance with any such Requirements of Law, order or restriction could reasonably be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5.12</w:t>
        <w:tab/>
      </w:r>
      <w:r>
        <w:rPr>
          <w:rFonts w:ascii="Times New Roman;Times;Serif" w:hAnsi="Times New Roman;Times;Serif"/>
          <w:b/>
          <w:i w:val="false"/>
          <w:caps w:val="false"/>
          <w:smallCaps w:val="false"/>
          <w:sz w:val="20"/>
        </w:rPr>
        <w:t>Pledged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xml:space="preserve">. Each Credit Party will cause (a) 100% of the Equity Interests in each of its direct Subsidiaries (other than any Excluded Subsidiary) and (b) 65% of each class of the issued and outstanding Equity Interests entitled to vote (within the meaning of Treas. Reg. </w:t>
      </w:r>
      <w:r>
        <w:rPr>
          <w:rFonts w:ascii="Times New Roman;Times;Serif" w:hAnsi="Times New Roman;Times;Serif"/>
          <w:b w:val="false"/>
          <w:i w:val="false"/>
          <w:caps w:val="false"/>
          <w:smallCaps w:val="false"/>
          <w:sz w:val="20"/>
          <w:u w:val="single"/>
        </w:rPr>
        <w:t>Section 1.956-2(c)(2)</w:t>
      </w:r>
      <w:r>
        <w:rPr>
          <w:rFonts w:ascii="Times New Roman;Times;Serif" w:hAnsi="Times New Roman;Times;Serif"/>
          <w:b w:val="false"/>
          <w:i w:val="false"/>
          <w:caps w:val="false"/>
          <w:smallCaps w:val="false"/>
          <w:sz w:val="20"/>
        </w:rPr>
        <w:t xml:space="preserve">) and 100% of each class of the issued and outstanding Equity Interests not entitled to vote (within the meaning of Treas. Reg. </w:t>
      </w:r>
      <w:r>
        <w:rPr>
          <w:rFonts w:ascii="Times New Roman;Times;Serif" w:hAnsi="Times New Roman;Times;Serif"/>
          <w:b w:val="false"/>
          <w:i w:val="false"/>
          <w:caps w:val="false"/>
          <w:smallCaps w:val="false"/>
          <w:sz w:val="20"/>
          <w:u w:val="single"/>
        </w:rPr>
        <w:t>Section 1.956-2(c)(2)</w:t>
      </w:r>
      <w:r>
        <w:rPr>
          <w:rFonts w:ascii="Times New Roman;Times;Serif" w:hAnsi="Times New Roman;Times;Serif"/>
          <w:b w:val="false"/>
          <w:i w:val="false"/>
          <w:caps w:val="false"/>
          <w:smallCaps w:val="false"/>
          <w:sz w:val="20"/>
        </w:rPr>
        <w:t>) of its direct Subsidiaries that are CFCs or FSHCOs (other than any Immaterial Subsidiary and any Unrestricted Subsidiary), in each case to the extent owned by such Credit Party, to be subject at all times to a first priority, perfected Lien in favor of the Administrative Agent pursuant to the terms and conditions of the Security Documents or such other security documents as the Administrative Agent shall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Personal Property</w:t>
      </w:r>
      <w:r>
        <w:rPr>
          <w:rFonts w:ascii="Times New Roman;Times;Serif" w:hAnsi="Times New Roman;Times;Serif"/>
          <w:b w:val="false"/>
          <w:i w:val="false"/>
          <w:caps w:val="false"/>
          <w:smallCaps w:val="false"/>
          <w:sz w:val="20"/>
        </w:rPr>
        <w:t>. Each Credit Party will cause all of its tangible and intangible personal property now owned or hereafter acquired by it (other than Excluded Assets (as defined in the Security Agreement) and except as permitted by the Security Documents) to be subject at all times to a first priority, perfected Lien (subject in each case to Permitted Liens) in favor of the Administrative Agent for the benefit of the Secured Parties to secure the Credit Party Obligations pursuant to the terms and conditions of the Security Documents or such other security documents as the Administrative Agent shall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5.13</w:t>
        <w:tab/>
      </w:r>
      <w:r>
        <w:rPr>
          <w:rFonts w:ascii="Times New Roman;Times;Serif" w:hAnsi="Times New Roman;Times;Serif"/>
          <w:b/>
          <w:i w:val="false"/>
          <w:caps w:val="false"/>
          <w:smallCaps w:val="false"/>
          <w:sz w:val="20"/>
        </w:rPr>
        <w:t>Designation of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Lead Borrower may designate any Subsidiary (other than a Borrower) as of the Closing Date or subsequently acquired or organized Subsidiary (other than a Borrower) as an “Unrestricted Subsidiary” and subsequently re- designate any such Unrestricted Subsidiary as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both (i) immediately prior to giving effect to such designation or re-designation and any related transactions and (ii) on a Pro Forma Basis, immediately after giving effect to any such designation or re-designation and any related transactions, no Event of Default shall have occurred and be continuing, (b) the Lead Borrower shall be in compliance with each of the Financial Covenants then in effect calculated on a Pro Forma Basis after giving effect to such designation and (c) no Unrestricted Subsidiary may own or hold (or have an exclusive license to) any Material Intellectual Property or other property necessary in the operation of the Lead Borrower and its Restricted Subsidiaries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Fair Market Value of such subsidiary at the time it is designated as an Unrestricted Subsidiary shall be treated as an Investment by the Lead Borrower and any Indebtedness or Liens of such Subsidiary at the time it is designated as a Restricted Subsidiary must comply with Article 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5.14</w:t>
        <w:tab/>
      </w:r>
      <w:r>
        <w:rPr>
          <w:rFonts w:ascii="Times New Roman;Times;Serif" w:hAnsi="Times New Roman;Times;Serif"/>
          <w:b/>
          <w:i w:val="false"/>
          <w:caps w:val="false"/>
          <w:smallCaps w:val="false"/>
          <w:sz w:val="20"/>
        </w:rPr>
        <w:t>Anti-Corruption Laws,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Borrower will maintain in effect and enforce policies and procedures designed to promote and achieve compliance by the Lead Borrower, its Subsidiaries and their respective directors, officers, employees and Borrower Agents with the Beneficial Ownership Regulation, applicable Anti-Terrorism Laws, the Foreign Corrupt Practices Act, 15 U.S.C. §§ 78dd-1, et seq. (and any foreign counterpart thereto) or any other applicable anti-corruption law and applicable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5.15</w:t>
        <w:tab/>
      </w:r>
      <w:r>
        <w:rPr>
          <w:rFonts w:ascii="Times New Roman;Times;Serif" w:hAnsi="Times New Roman;Times;Serif"/>
          <w:b/>
          <w:i w:val="false"/>
          <w:caps w:val="false"/>
          <w:smallCaps w:val="false"/>
          <w:sz w:val="20"/>
        </w:rPr>
        <w:t>Further Assurances and Post-Closing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Visits and Inspections</w:t>
      </w:r>
      <w:r>
        <w:rPr>
          <w:rFonts w:ascii="Times New Roman;Times;Serif" w:hAnsi="Times New Roman;Times;Serif"/>
          <w:b w:val="false"/>
          <w:i w:val="false"/>
          <w:caps w:val="false"/>
          <w:smallCaps w:val="false"/>
          <w:sz w:val="20"/>
        </w:rPr>
        <w:t>. The Credit Parties shall permit representatives of the Administrative Agent or any Lender, from time to time upon prior reasonable notice and at such times during normal business hours, to visit and inspect its properties (including the Collateral); inspect, audit and make extracts from its books, records and files, including, but not limited to, management letters prepared by independent accountants; and discuss with its principal officers, and its independent accountants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Credit Parties shall be afforded the opportunity to participate in any discussions with such independent accountants), its business, assets, liabilities, financial condition, results of operations and business prospects;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so long as no Event of Default has occurred and is continuing, no more than one such inspection or visit shall occur per calendar year and the Lead Borrower shall only be required to pay for the reasonable out-of-pocket expenses of one such inspection or visit during a calendar year. Upon the occurrence and during the continuance of an Event of Default, the Administrative Agent or any Lender may do any of the foregoing at any time without advance notice. Notwithstanding anything to the contrary in this Section, none of the Lead Borrower or any of its Restricted Subsidiaries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is prohibited by applicable law or any third-party consent legally binding on the Lead Borrower or its Restricted Subsidiaries or (iii) is subject to attorney, client or similar privilege or constitutes or includes attorney work-product.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Upon the reasonable request of the Administrative Agent, promptly perform or cause to be performed any and all acts, provide or cause to be provided additional financial information or other information similar to what was provided pursuant to </w:t>
      </w:r>
      <w:r>
        <w:rPr>
          <w:rFonts w:ascii="Times New Roman;Times;Serif" w:hAnsi="Times New Roman;Times;Serif"/>
          <w:b w:val="false"/>
          <w:i w:val="false"/>
          <w:caps w:val="false"/>
          <w:smallCaps w:val="false"/>
          <w:sz w:val="20"/>
          <w:u w:val="single"/>
        </w:rPr>
        <w:t>Section 4.1(k)</w:t>
      </w:r>
      <w:r>
        <w:rPr>
          <w:rFonts w:ascii="Times New Roman;Times;Serif" w:hAnsi="Times New Roman;Times;Serif"/>
          <w:b w:val="false"/>
          <w:i w:val="false"/>
          <w:caps w:val="false"/>
          <w:smallCaps w:val="false"/>
          <w:sz w:val="20"/>
        </w:rPr>
        <w:t>, in each case, with respect to the Credit Parties or any of their Subsidiaries and execute or cause to be executed any and all documents for filing under the provisions of the UCC or any other Requirement of Law which are necessary or advisable to maintain in favor of the Administrative Agent, for the benefit of the Secured Parties, Liens on the Collateral that are duly perfected in accordance with the requirements of, or the obligations of the Credit Parties under, the Credit Documents and all applicable Requirements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Post-Closing Covenant</w:t>
      </w:r>
      <w:r>
        <w:rPr>
          <w:rFonts w:ascii="Times New Roman;Times;Serif" w:hAnsi="Times New Roman;Times;Serif"/>
          <w:b w:val="false"/>
          <w:i w:val="false"/>
          <w:caps w:val="false"/>
          <w:smallCaps w:val="false"/>
          <w:sz w:val="20"/>
        </w:rPr>
        <w:t>. The Credit Parties shall execute and deliver the documents and complete the tasks set forth on Schedule 5.15, in each case within the time limits specified on such schedule (or such later period of time as agreed to by the Administrative Agent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5.16</w:t>
        <w:tab/>
      </w: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proceeds of the Extensions of Credit shall be used by the Borrowers in accordance with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4"/>
        </w:rPr>
        <w:t>Article VI</w:t>
      </w:r>
      <w:r>
        <w:rPr>
          <w:rFonts w:ascii="Times New Roman;Times;Serif" w:hAnsi="Times New Roman;Times;Serif"/>
          <w:b/>
          <w:i w:val="false"/>
          <w:caps/>
          <w:sz w:val="20"/>
        </w:rPr>
        <w:br/>
        <w:br/>
        <w:t>NEGATIVE 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Borrower hereby covenants and agrees that on the Closing Date, and thereafter (a) for so long as this Agreement is in effect, (b) until the Commitments have terminated, and (c) the Credit Party Obligations and all other amounts owing to the Administrative Agent or any Lender hereunder are paid in full in cash (other than contingent indemnification obligations for which no claim has been made),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6.1</w:t>
        <w:tab/>
      </w:r>
      <w:r>
        <w:rPr>
          <w:rFonts w:ascii="Times New Roman;Times;Serif" w:hAnsi="Times New Roman;Times;Serif"/>
          <w:b/>
          <w:i w:val="false"/>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Borrower will not, nor will it permit any Restricted Subsidiary to, contract, create, incur, assume or permit to exist any Indebtedness,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Indebtedness arising or existing under this Agreement and the other Credit Documents (including any Indebtedness incurred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Indebtedness of the Lead Borrower and its Restricted Subsidiaries existing as of the Closing Date as referred to in the financial statements referenced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 as otherwise set forth in Schedule 6.1(b) hereto and any Permitted Refinancings thereof and (ii) the Convertible Notes and any Permitted Refinancings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Indebtedness of the Lead Borrower and its Restricted Subsidiaries incurred after the Closing Date consisting of Capital Leases or Indebtedness incurred to provide all or a portion of the purchase price or cost of construction of an asset;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Indebtedness when incurred shall not exceed the purchase price or cost of construction of such asset; (ii) no such Indebtedness shall be renewed, refinanced or extended for a principal amount in excess of the principal balance outstanding thereon at the time of such renewal, refinancing or extension; and (iii) the total amount of all such Indebtedness shall not exceed the greater of $22,500,000 and 12.5% of Consolidated EBITDA for the most recently ended Test Period at any time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permitted pursuant to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unsecured intercompany Indebtedness among the Lead Borrower and its 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Indebtedness owing by a Credit Party to a Restricted Subsidiary that is not a Credit Party shall be (i) fully subordinated to the Credit Party Obligations hereunder on terms reasonably satisfactory to the Administrative Agent and (ii) to the extent required by the Administrative Agent, evidenced by promissory notes which shall be pledged to the Administrative Agent as Collateral for the Credit Party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and obligations owing under (i) Bank Products and (ii) other Hedging Agreements entered into in order to manage existing or anticipated interest rate, exchange rate or commodity price risks and not for speculative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Indebtedness of a Person existing at the time such Person becomes a Restricted Subsidiary in a transaction permitted hereunder in an aggregate principal amount not to exceed the greater of $50,000,000 and 35% of Consolidated EBITDA for the most recently ended Test Period at any time outstanding for all such Indebtedness and any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Indebtedness was not created in anticipation of or in connection with the transaction or series of transactions pursuant to which such Person became a Restricted Subsidiary of the Lead Borrower or another 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Indebtedness arising from agreements providing for indemnification and purchase price adjustment obligations or similar obligations, or from guaranties or letters of credit, surety bonds or performance bonds securing the performance of the Lead Borrower or its Restricted Subsidiaries pursuant to such agreements, in connection with Dispositions, other sales of assets, Permitted Acquisitions or other Investments permitted to be made in accordance with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unsecured Indebtedness or Indebtedness secured by a Lien on the Collateral that is junior to the Lien securing the Initial Term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Total Net Leverage Ratio of the Lead Borrower is not greater than 4.50 to 1.00, calculated on a Pro Forma Basis after giving effect to the incurrence of such Indebtedness, (ii) such Indebtedness does not mature earlier than the Latest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the Initial Term Loans and does not have a Weighted Average Life to Maturity shorter than the Weighted Average Life to Maturity of the Initial Term Loans and (iii) at the time such Indebtedness is incurred, no Event of Default shall exist or shall result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Credit Agreement Refinancing Indebtedness incurred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Guaranty Obligations in respect of Indebtedness of the Lead Borrower or any Restricted Subsidiary to the extent such Indebtedness is permitted to exist or be incurred pursuant to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such guarantee by the Lead Borrower or Restricted Subsidiary of the Indebtedness of a Restricted Subsidiary that is not a Credit Party is otherwise permitted pursuant to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(ii) no guarantee by any Restricted Subsidiary of any Subordinated Debt shall be permitted unless such Restricted Subsidiary shall have also provided a guarantee of the Credit Party Obligations and (iii) if the Indebtedness being guaranteed is contractually subordinated to the Credit Party Obligations, such guarantee shall be contractually subordinated to the guarantee of the Credit Party Obligations on terms at least as favorable (taken as a whole) to the Lenders as those contained in the subordination of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Indebtedness arising from the honoring by a bank or other financial institution of a check, draft or similar instrument drawn against insufficient funds in the ordinary course of business and other Indebtedness in respect of obligations under any agreement or arrangement to provide cash management services, including treasury, depository, overdraft, return items, purchasing card, travel and entertainment card, credit or debit card, electronic funds transfer, automated clearing house transfers of funds and other cash management arrangements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trade payables, accruals and accounts payable in the ordinary course of business (in each case to the extent not overdue) not for Funded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Indebtedness in respect of performance bonds, bid bonds, surety and (other than surety bonds required in connection with any 401(d) plan(s) maintained by the Lead Borrower and its Restricted Subsidiaries) and similar obligations, not to exceed $2,000,000 in the aggregate at any time outstanding, in each case provided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Indebtedness consisting of insurance premiums accrued but not yet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 Incremental Equivalent Debt incurred in accordance with the terms of this Agreement and (B) any Permitted Refinancings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Indebtedness in respect of taxes, assessments or governmental charges which are permitted to be outstanding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Indebtedness consisting of judgments not otherwise constituting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Indebtedness consisting of deferred purchase price or notes issued to officers, directors and employees to purchase or redeem Equity Interests of Lead Borrower in an amount not to exceed $2,000,000 at any time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Permitted Target Indebtedness and any Permitted Refinancings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Indebtedness of joint ventures and/or Indebtedness incurred on behalf thereof or representing guarantees of Indebtedness of joint ventures in an amount not to exceed the greater of $22,500,000 and 12.5% of Consolidated EBITDA for the most recently ended Test Period at any time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Contribution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(i) Indebtedness arising out of Permitted Acquisitions and other Investments permitted to be made in accordance with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to the extent consisting of earnout obligations and other contingent acquisition consideration and (ii) unsecured Indebtedness in the form of Contingent Payments;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any such Indebtedness is incurred, no Event of Default shall exist or shall result therefrom;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(A) additional Indebtedness of the Lead Borrower or any Restricted Subsidiary and (B) any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principal amount of Indebtedness that is outstanding in reliance on this clause (x) shall not exceed the greater of $45,000,000 and 25% of Consolidated EBITDA for the most recently ended Test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6.2</w:t>
        <w:tab/>
      </w:r>
      <w:r>
        <w:rPr>
          <w:rFonts w:ascii="Times New Roman;Times;Serif" w:hAnsi="Times New Roman;Times;Serif"/>
          <w:b/>
          <w:i w:val="false"/>
          <w:caps w:val="false"/>
          <w:smallCaps w:val="false"/>
          <w:sz w:val="20"/>
        </w:rPr>
        <w:t>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Borrower will not, nor will it permit any Restricted Subsidiary to, contract, create, incur, assume or permit to exist any Lien with respect to any of their respective property or assets of any kind (whether real or personal, tangible or intangible), whether now owned or hereafter acquired, except for the following (the “</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Liens created by or otherwise existing under or in connection with this Agreement or the other Credit Documents (including any Indebtedness incurred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in favor of the Administrative Agent on behalf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(i) in favor of a Bank Product Provider in connection with a Bank Product; provided, that such Liens shall secure the Credit Party Obligations on a pari passu basis; and (ii) securing obligations in respect of Hedging Agreements specified on Schedule 6.1(b) in accordance with the terms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Liens securing purchase money Indebtedness and Capital Lease Obligations (and refinancings thereof) to the extent permitted under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any such Lien attaches to such property concurrently with or within one hundred eighty (180) days after the acquisition thereof and (ii) such Lien attaches solely to the property so acquired in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for taxes, assessments, charges or other governmental levies not yet due or as to which the period of grace, if any, related thereto has not expired or which are being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adequate reserves with respect thereto are maintained on the books of the Lead Borrower or its Restricted Subsidiaries, as the case may be, in conformity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statutory Liens such as carriers’, warehousemen’s, mechanics’, materialmen’s, landlords’, repairmen’s or other like Liens arising in the ordinary course of business which are not overdue for a period of more than sixty (60) days or which are being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reserve or other appropriate provision shall have been made therefor and the aggregate amount of such Liens is less than $2,000,000;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pledges or deposits in connection with workers’ compensation, unemployment insurance and other social security legislation (other than any Lien imposed by ERISA) and deposits securing liability to insurance carriers under insurance or self-insurance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deposits to secure the performance of bids, trade contracts (other than for borrowed money), leases, statutory obligations, surety and appeal bonds, performance bonds and other obligations of a like nature incurred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easements, rights of way, restrictions and other similar encumbrances affecting real property which do not in any case materially interfere with the ordinary conduct of the business of the applicable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Liens existing on the Closing Date and set forth on Schedule 1.1(b);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Lien shall at any time be extended to cover property or assets other than the property or assets subject thereto on the Closing Date and improvements thereon and (ii) the principal amount of the Indebtedness secured by such Lien shall not be extended, renewed, refunded or refinanced;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any extension, renewal or replacement (or successive extensions, renewals or replacements), in whole or in part, of any Lien referred to in this definition (other than Liens set forth on Schedule 1.1(b));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extension, renewal or replacement Lien shall be limited to all or a part of the property which secured the Lien so extended, renewed or replaced (plus improvements on such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arising in the ordinary course of business by virtue of any contractual, statutory or common law provision relating to banker’s Liens, rights of set-off or similar rights and remedies covering deposit or securities accounts (including funds or other assets credited thereto) or other funds maintained with a depository institution or securities intermediary;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reservation, covenant, zoning, building or similar laws or rights reserved to or vested in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restrictions on transfers of securities imposed by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Liens arising out of judgments or awards not resulting in an Event of Default;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Lead Borrower or the applicable Restricted Subsidiary shall in good faith be prosecuting an appeal or proceedings for review, to the extent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any Lien securing Indebtedness permitted under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existing on any property or assets prior to the acquisition thereof by the Lead Borrower or any Restricted Subsidiary or existing on any property or asset of any Person that becomes a Restricted Subsidiary after the date hereof prior to the time such Person becomes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is not created in contemplation of or in connection with such acquisition or such Person becoming a Restricted Subsidiary, as the case may be, (ii) such Lien shall not apply to any other property or assets of such Restricted Subsidiary and (iii) such Lien shall secure only those obligations which it secures on the date of such acquisition or the date such Person becomes a Restricted Subsidiary,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interest or title of a lessor, licensor or sublessor under any lease, license or sublease entered into by the Lead Borrower or any Restricted Subsidiary thereof in the ordinary course of its business and covering only the assets so leased, licensed or subleased;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in favor of the Administrative Agent, Issuing Lender and/or Swingline Lender to Cash Collateralize or otherwise secure the obligations of a Defaulting Lender to fund risk participations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assignments of insurance or condemnation proceeds provided to landlords (or their mortgagees) pursuant to the terms of any lease and Liens or rights reserved in any lease for rent or for compliance with the terms of such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Liens securing (i) Indebtedness permitted pursuant to </w:t>
      </w:r>
      <w:r>
        <w:rPr>
          <w:rFonts w:ascii="Times New Roman;Times;Serif" w:hAnsi="Times New Roman;Times;Serif"/>
          <w:b w:val="false"/>
          <w:i w:val="false"/>
          <w:caps w:val="false"/>
          <w:smallCaps w:val="false"/>
          <w:sz w:val="20"/>
          <w:u w:val="single"/>
        </w:rPr>
        <w:t>Section 6.1(p)</w:t>
      </w:r>
      <w:r>
        <w:rPr>
          <w:rFonts w:ascii="Times New Roman;Times;Serif" w:hAnsi="Times New Roman;Times;Serif"/>
          <w:b w:val="false"/>
          <w:i w:val="false"/>
          <w:caps w:val="false"/>
          <w:smallCaps w:val="false"/>
          <w:sz w:val="20"/>
        </w:rPr>
        <w:t xml:space="preserve"> or (ii) Indebtedness permitted pursuant to </w:t>
      </w:r>
      <w:r>
        <w:rPr>
          <w:rFonts w:ascii="Times New Roman;Times;Serif" w:hAnsi="Times New Roman;Times;Serif"/>
          <w:b w:val="false"/>
          <w:i w:val="false"/>
          <w:caps w:val="false"/>
          <w:smallCaps w:val="false"/>
          <w:sz w:val="20"/>
          <w:u w:val="single"/>
        </w:rPr>
        <w:t>Section 6.1(h)</w:t>
      </w:r>
      <w:r>
        <w:rPr>
          <w:rFonts w:ascii="Times New Roman;Times;Serif" w:hAnsi="Times New Roman;Times;Serif"/>
          <w:b w:val="false"/>
          <w:i w:val="false"/>
          <w:caps w:val="false"/>
          <w:smallCaps w:val="false"/>
          <w:sz w:val="20"/>
        </w:rPr>
        <w:t xml:space="preserve"> that are junior to the Lien securing the Initial Term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Liens securing such Indebtedness permitted pursuant to </w:t>
      </w:r>
      <w:r>
        <w:rPr>
          <w:rFonts w:ascii="Times New Roman;Times;Serif" w:hAnsi="Times New Roman;Times;Serif"/>
          <w:b w:val="false"/>
          <w:i w:val="false"/>
          <w:caps w:val="false"/>
          <w:smallCaps w:val="false"/>
          <w:sz w:val="20"/>
          <w:u w:val="single"/>
        </w:rPr>
        <w:t>Section 6.1(h)</w:t>
      </w:r>
      <w:r>
        <w:rPr>
          <w:rFonts w:ascii="Times New Roman;Times;Serif" w:hAnsi="Times New Roman;Times;Serif"/>
          <w:b w:val="false"/>
          <w:i w:val="false"/>
          <w:caps w:val="false"/>
          <w:smallCaps w:val="false"/>
          <w:sz w:val="20"/>
        </w:rPr>
        <w:t xml:space="preserve"> are subordinated to the Liens securing the Credit Party Obligations pursuant to a subordination or intercreditor agreement in form and substance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additional Liens so long as the principal amount of Indebtedness and other obligations secured thereby does not exceed the greater of $45,000,000 and 25% of Consolidated EBITDA for the most recently ended Test Period preceding the date of creation or incurrence of such Lien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non-exclusive licenses or sublicenses of intellectual property granted by the Lead Borrower or any Restricted Subsidiary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Liens on insurance premiums permitted under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Liens in favor of customs and revenue authorities arising as a matter of law to secure payment of customs duties in connection with the importation of goods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in the nature of setoff, refund or chargeback in favor of counterparties to contractual arrangements with the Lead Borrower or its Restricted Subsidiaries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Liens on assets of the Company and its Subsidiaries that are existing on the Acquisition Closing Date with respect to Permitted Target Indebtedness;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Liens created by the Convertible Notes Indenture in favor of the trustee thereunder and securing the payment of the fees and expenses of the trustee in respect of the Convertible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Lead Borrower or any Restricted Subsidiary shall grant a Lien on any of its assets in violation of this Section, then it shall be deemed to have simultaneously granted an equal and ratable Lien on any such assets in favor of the Administrative Agent for the ratable benefit of the Secured Parties, to the extent such Lien has not already been granted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6.3</w:t>
        <w:tab/>
      </w:r>
      <w:r>
        <w:rPr>
          <w:rFonts w:ascii="Times New Roman;Times;Serif" w:hAnsi="Times New Roman;Times;Serif"/>
          <w:b/>
          <w:i w:val="false"/>
          <w:caps w:val="false"/>
          <w:smallCaps w:val="false"/>
          <w:sz w:val="20"/>
        </w:rPr>
        <w:t>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Lead Borrower will not, nor will it permit any Restricted Subsidiary to, alter the character of its business in any material respect from that conducted as of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Lead Borrower or any Subsidiary thereof may engage in any line of business that is similar, corollary, ancillary, incidental or complementary or related to, or a reasonable extension, development or expansion of, the business conducted or proposed to be conducted by the Lead Borrower or any subsidiary thereof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6.4</w:t>
        <w:tab/>
      </w:r>
      <w:r>
        <w:rPr>
          <w:rFonts w:ascii="Times New Roman;Times;Serif" w:hAnsi="Times New Roman;Times;Serif"/>
          <w:b/>
          <w:i w:val="false"/>
          <w:caps w:val="false"/>
          <w:smallCaps w:val="false"/>
          <w:sz w:val="20"/>
        </w:rPr>
        <w:t>Consolidation, Merger, Purchase and Sale of Assets,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Borrower will not, nor will it permit any Restricted Subsidiary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consummate a Disposition, except the following, without duplication, shall be expressly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tab/>
        <w:t>(A)</w:t>
        <w:tab/>
        <w:t>the sale, transfer, lease or other disposition of inventory and materials in the ordinary course of business and (B) the conversion of cash into Cash Equivalents and Cash Equivalents into cash, in each case so long as such Disposition is for Fair Market Value;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sale, transfer or other disposition of property or assets to an unrelated party not in the ordinary course of business where and to the extent that they are the result of a Recovery Event to the extent Net Cash Proceeds from such Recovery Event are reinvested or used to make mandatory prepayments pursuant to </w:t>
      </w:r>
      <w:r>
        <w:rPr>
          <w:rFonts w:ascii="Times New Roman;Times;Serif" w:hAnsi="Times New Roman;Times;Serif"/>
          <w:b w:val="false"/>
          <w:i w:val="false"/>
          <w:caps w:val="false"/>
          <w:smallCaps w:val="false"/>
          <w:sz w:val="20"/>
          <w:u w:val="single"/>
        </w:rPr>
        <w:t>Section 2.7(b)(ii)</w:t>
      </w:r>
      <w:r>
        <w:rPr>
          <w:rFonts w:ascii="Times New Roman;Times;Serif" w:hAnsi="Times New Roman;Times;Serif"/>
          <w:b w:val="false"/>
          <w:i w:val="false"/>
          <w:caps w:val="false"/>
          <w:smallCaps w:val="false"/>
          <w:sz w:val="20"/>
        </w:rPr>
        <w:t xml:space="preserve"> or resulting from any condemnation or taking under power of eminent domain or similar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sale, lease, transfer or other disposition for Fair Market Value of machinery, parts and equipment no longer used or useful in the conduct of the business of the Lead Borrower or any of its Restricted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so long as no Event of Default shall exist or shall result therefrom, the (A) sale, lease or transfer of property or assets (1) from a Credit Party or a Restricted Subsidiary of a Credit Party to a Credit Party or (2) among Restricted Subsidiaries that are not Credit Parties or the (B) dissolution of (1) any Credit Party (other than a Borrower) to the extent any and all assets of such Credit Party are distributed to another Credit Party or (2) any Restricted Subsidiary that is not a Credit Party to the extent any and all assets of such Restricted Subsidiary are distributed to a Credit Party or another Restricted Subsidiary that is not a Credit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termination of any Hedging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Event of Default shall exist or shall result therefrom;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sale, lease or transfer of property (including real property) or assets not to exceed the greater of $18,000,000 and 10% of Consolidated EBITDA for the most recently ended Test Period preceding such Disposition in the aggregate in any fiscal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Event of Default shall exist or shall result therefrom;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sales, transfers and dispositions of Accounts (as defined in the Security Agreement) in connection with the compromise, settlement or collection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licenses of intellectual property granted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lapse or termination of immaterial intellectual property that is no longer useful to its business;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termination, surrender or sublease of a real estate lease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Dispositions of property for Fair Market Value to Persons other than the Lead Borrower and its Restricted Subsidiaries not otherwise permitted under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with respect to any Disposition pursuant to this clause (xi) for a purchase price in excess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greater of $18,000,000 and 10% of Consolidated EBITDA for the most recently ended Test Period preceding such Disposition, the Lead Borrower or a Restricted Subsidiary shall receive not less than 75.0% of such consideration in the form of cash or Cash Equivalents;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for the purposes of this clause (i), (A) any liabilities (as shown on the most recent balance sheet of the Lead Borrower provided hereunder or in the footnotes thereto or if incurred or accrued subsequent to the date of such balance sheet, such liabilities that would have been reflected on the Lead Borrower’s consolidated balance sheet or in the footnotes thereto if such incurrence or accrual had taken place on or prior to the date of such balance sheet, as determined in good faith by the Lead Borrower) of the Lead Borrower or such Restricted Subsidiary that are assumed by the transferee with respect to the applicable Disposition (or are otherwise extinguished by the transferee in connection with the transactions relating to such Disposition) and for which the Lead Borrower and all of the Restricted Subsidiaries shall have been validly released, shall be deemed to be cash, (B) any securities, notes or other obligations or assets received by the Lead Borrower or such Restricted Subsidiary from such transferee that are converted by the Lead Borrower or such Restricted Subsidiary into cash or Cash Equivalents, or by their terms are required to be satisfied for cash or Cash Equivalents (to the extent of the cash or Cash Equivalents received), within 180 days following the closing of the applicable Disposition, shall be deemed to be cash, and (C) any Designated Non-Cash Consideration received by the Lead Borrower or such Restricted Subsidiary in respect of such Disposition having an aggregate Fair Market Value, taken together with all other Designated Non-Cash Consideration received pursuant to this clause (xi) that is at that time outstanding, not in excess of the greater of $45,000,000 and 25% of Consolidated EBITDA for the most recently ended Test Period preceding such Disposition, with the Fair Market Value of each item of Designated Non-Cash Consideration being measured at the time received and without giving effect to subsequent changes in value, shall be deemed to be cash and (ii) the Net Cash Proceeds received in connection with any such Disposition shall be applied as (and to the extent) required by </w:t>
      </w:r>
      <w:r>
        <w:rPr>
          <w:rFonts w:ascii="Times New Roman;Times;Serif" w:hAnsi="Times New Roman;Times;Serif"/>
          <w:b w:val="false"/>
          <w:i w:val="false"/>
          <w:caps w:val="false"/>
          <w:smallCaps w:val="false"/>
          <w:sz w:val="20"/>
          <w:u w:val="single"/>
        </w:rPr>
        <w:t>Section 2.7(b)(ii)</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the sale, transfer or other disposition of assets (including forced divestitures) required by any Governmental Authority; provided that the Net Cash Proceeds received in connection therewith shall be applied as (and to the extent) required by </w:t>
      </w:r>
      <w:r>
        <w:rPr>
          <w:rFonts w:ascii="Times New Roman;Times;Serif" w:hAnsi="Times New Roman;Times;Serif"/>
          <w:b w:val="false"/>
          <w:i w:val="false"/>
          <w:caps w:val="false"/>
          <w:smallCaps w:val="false"/>
          <w:sz w:val="20"/>
          <w:u w:val="single"/>
        </w:rPr>
        <w:t>Section 2.7(b)(ii)</w:t>
      </w:r>
      <w:r>
        <w:rPr>
          <w:rFonts w:ascii="Times New Roman;Times;Serif" w:hAnsi="Times New Roman;Times;Serif"/>
          <w:b w:val="false"/>
          <w:i w:val="false"/>
          <w:caps w:val="false"/>
          <w:smallCaps w:val="false"/>
          <w:sz w:val="20"/>
        </w:rPr>
        <w: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Dispositions of non-core assets acquired in any Permitted Acquisition or other Investment permitted under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provided that the Net Cash Proceeds received in connection with any such Disposition shall be applied as (and to the extent) required by </w:t>
      </w:r>
      <w:r>
        <w:rPr>
          <w:rFonts w:ascii="Times New Roman;Times;Serif" w:hAnsi="Times New Roman;Times;Serif"/>
          <w:b w:val="false"/>
          <w:i w:val="false"/>
          <w:caps w:val="false"/>
          <w:smallCaps w:val="false"/>
          <w:sz w:val="20"/>
          <w:u w:val="single"/>
        </w:rPr>
        <w:t>Section 2.7(b)(ii)</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Liens on any assets granted to or held by the Administrative Agent under any Credit Document to secure the Obligations will be automatically and immediately released upon the occurrence of any sale or other Disposition of such assets to a Person that is not a Credit Party that is permitted by the Credit Documents;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effect any merger or consolidation, except for (i) Investments or acquisitions permitted pursuant to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so long as the Credit Party subject to such merger or consolidation is the surviving entity, (ii) (y) the merger or consolidation of a Restricted Subsidiary that is not a Credit Party with and into a Credit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Credit Party will be the surviving entity and (z) the merger or consolidation of a Credit Party with and into another Credit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Borrower is a party thereto, a Borrower will be the surviving corporation, (iii) the merger or consolidation of a Restricted Subsidiary that is not a Credit Party with and into another Restricted Subsidiary that is not a Credit Party and (iv)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6.5</w:t>
        <w:tab/>
      </w:r>
      <w:r>
        <w:rPr>
          <w:rFonts w:ascii="Times New Roman;Times;Serif" w:hAnsi="Times New Roman;Times;Serif"/>
          <w:b/>
          <w:i w:val="false"/>
          <w:caps w:val="false"/>
          <w:smallCaps w:val="false"/>
          <w:sz w:val="20"/>
        </w:rPr>
        <w:t>Advances, Investments and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Borrower will not, nor will it permit any Restricted Subsidiary to, make any Investment except for the following (the “</w:t>
      </w:r>
      <w:r>
        <w:rPr>
          <w:rFonts w:ascii="Times New Roman;Times;Serif" w:hAnsi="Times New Roman;Times;Serif"/>
          <w:b w:val="false"/>
          <w:i w:val="false"/>
          <w:caps w:val="false"/>
          <w:smallCaps w:val="false"/>
          <w:sz w:val="20"/>
          <w:u w:val="single"/>
        </w:rPr>
        <w:t>Permitted Investments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existing as of the Closing Date as set forth on Schedule 1.1(a);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extensions of trade credit in the ordinary course of business, including receivables owing to the Lead Borrower or any of its Restricted Subsidiaries or any receivables and advances to suppliers, in each case if created, acquired or made in the ordinary course of business and payable or dischargeable in accordance with customary trade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in and loans to any Credit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loans and advances to officers, directors and employees in an aggregate amount not to exceed $10,000,000 at any time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loans and advances shall comply with all applicable Requirements of Law (including Sarbanes-Oxley);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Permitted Acquisitions and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Investments (i) by Credit Parties and Restricted Subsidiaries that are not Credit Parties in Subsidiaries that are not Credit Parties in an aggregate amount not to exceed the greater of $31,500,000 and 17.5% of Consolidated EBITDA for the most recently ended Test Period preceding the date of such Investment at any one time outstanding, (ii) in joint ventures in an aggregate amount not to exceed the greater of $22,500,000 and 12.5% of Consolidated EBITDA for the most recently ended Test Period preceding the date of such Investment at any one time outstanding and (iii) in Restricted Subsidiaries that are not Credit Parties by other Restricted Subsidiaries that are not Credit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the Total Net Leverage Ratio, as determined as of the last day of each of any two consecutive Test Periods, is less than 3.50 to 1.00, then the cumulative amount of Investments made prior to the last day of such most recent Test Period in reliance on clause (i) above shall be deemed to be $0.00 solely for purposes of resetting the amount available pursuant to clause (i)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Investments consisting of Bank Products to the extent permitted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so long as no Event of Default has occurred and is continuing at the time of making such Investment or would immediately result therefrom, additional loan advances and/or Investments of a nature not contemplated by the foregoing clauses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loans, advances and/or Investments made after the Closing Date pursuant to this clause shall not exceed an aggregate amount of the greater of $54,000,000 and 30% of Consolidated EBITDA for the most recently ended Test Period preceding the date of such Investment at any one time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notes payable or stock or other securities issued by account debtors pursuant to negotiated agreements with respect to settlement of such account debtor’s Accounts (as defined in the Security Agreement)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additional Investments in an aggregate outstanding amount not to exceed the Available Amount as of such date, so long as, no Event of Default has occurred and is continuing or would immediately result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additional Investments;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on a Pro Forma Basis immediately after giving effect to the making of such Investment, the use of proceeds thereof and all related pro forma adjustments, the Total Net Leverage Ratio, recomputed as of the last day of the most recent fiscal quarter for which financial statements are required to be delivered (or are actually delivered, if earlier) prior to such date and for the Test Period ending on such date, is less than or equal to 3.50:1.00 and (ii) no Event of Default has occurred and is continuing at the time of consummation of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Investments of a Restricted Subsidiary acquired after the Closing Date or of a Person acquired by, merged into, consolidated with or amalgamated with the Lead Borrower or any Restricted Subsidiary in accordance with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after the Closing Date or that otherwise becomes a Restricted Subsidiary after the Closing Date, in each case, to the extent that such Investments were not made in contemplation of or in connection with such acquisition, merger, consolidation or amalgamation and were in existence on the date of such acquisition, merger, consolidation or amalgamation;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salary advances, travel expense advances, advances against commissions and other similar advances to employees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deposits with landlords in the ordinary course of business to secure or support obligations of the Lead Borrower or any Restricted Subsidiary under the lease of real property;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to the extent constituting Investments, any Permitted Bond Hedge Transaction and any Permitted Warrant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6.6</w:t>
        <w:tab/>
      </w:r>
      <w:r>
        <w:rPr>
          <w:rFonts w:ascii="Times New Roman;Times;Serif" w:hAnsi="Times New Roman;Times;Serif"/>
          <w:b/>
          <w:i w:val="false"/>
          <w:caps w:val="false"/>
          <w:smallCaps w:val="false"/>
          <w:sz w:val="20"/>
        </w:rPr>
        <w:t>Transactions with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Lead Borrower will not, nor will it permit any Restricted Subsidiary to, enter into any transaction or series of transactions, whether or not in the ordinary course of business, with any officer, director, shareholder or Affiliate, to the extent that such transaction involves payments in excess of $1.0 million per fiscal year, other than on terms and conditions substantially as favorable as would be obtainable in a comparable arm’s-length transaction with a Person other than an officer, director, shareholder or Affiliate, other than (a) transactions solely between or among Credit Parties (or any Person that becomes a Credit Party as a result of such transaction) to the extent not prohibited under this Agreement and transactions between or among the Credit Parties and their Restricted Subsidiaries to the extent not prohibited under this Agreement, (b) transactions solely between or among Restricted Subsidiaries that are not Credit Parties to the extent not prohibited under this Agreement, (c) payment of customary directors’ fees, compensation arrangements, indemnification and expense reimbursement of officers, directors, employees and consultants (including the provision of directors and officers insurance), (d) the consummation of the Transactions on the Closing Date and the Acquisition Closing Date and, following the Acquisition Closing Date, the consummation of any transaction and the making of any payment required to be consummated or made after the Acquisition Closing Date pursuant to the terms of the Acquisition Agreement, (e) investments in Subsidiaries permitted by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and (f) any Restricted Payment permitted by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6.7</w:t>
        <w:tab/>
      </w:r>
      <w:r>
        <w:rPr>
          <w:rFonts w:ascii="Times New Roman;Times;Serif" w:hAnsi="Times New Roman;Times;Serif"/>
          <w:b/>
          <w:i w:val="false"/>
          <w:caps w:val="false"/>
          <w:smallCaps w:val="false"/>
          <w:sz w:val="20"/>
        </w:rPr>
        <w:t>Corporate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Borrower will not, nor will it permit any of its Restricted Subsidiaries to, (a) change its fiscal year, (b) amend, modify or change its articles of incorporation, certificate of designation (or corporate charter or other similar organizational document) operating agreement or bylaws (or other similar document) in any respect materially adverse to the interests of the Lenders, (c) change its state of incorporation or organization or its registered legal name, without providing ten (10) days (or such shorter period as agreed to by the Administrative Agent) prior written notice to the Administrative Agent with respect to this clause (c) to allow the Administrative Agent to file such financing statements and amendments to any previously filed financing statements as the Administrative Agent may require or (d) change its accounting method (except in accordance with GAAP) in any manner materially adverse to the interests of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6.8</w:t>
        <w:tab/>
      </w:r>
      <w:r>
        <w:rPr>
          <w:rFonts w:ascii="Times New Roman;Times;Serif" w:hAnsi="Times New Roman;Times;Serif"/>
          <w:b/>
          <w:i w:val="false"/>
          <w:caps w:val="false"/>
          <w:smallCaps w:val="false"/>
          <w:sz w:val="20"/>
        </w:rPr>
        <w:t>Limitation on Restricted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Lead Borrower will not, nor will it permit any Restricted Subsidiary to, directly or indirectly, create or otherwise cause or suffer to exist or become effective any encumbrance or restriction on the ability of any such Person to (a) with respect to such Restricted Subsidiary, pay dividends or make any other distributions to any Credit Party on its Equity Interests or with respect to any other interest or participation in, or measured by, its profits, (b) pay any Indebtedness or other obligation owed to any Credit Party, (c) make loans or advances to any Credit Party, or (d) act as a Guarantor and pledge its assets pursuant to the Credit Documents or any renewals, refinancings, exchanges, refundings or extension thereof or amend or otherwise modify the Credit Documents, except for such encumbrances or restrictions existing under or by reason of (i) this Agreement and the other Credit Documents, (ii) applicable law, (iii) any document or instrument governing Indebtedness incurred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restriction contained therein are customary for such Indebtedness as determined in the good faith judgment of the Lead Borrower, (iv) customary provisions in leases, licenses, sub-leases, sub-licenses and contracts restricting assignments thereof or restricting the grant of Liens in such lease, license, sub-lease, sub-license or other contract, (v) any Permitted Lien or any document or instrument governing any Permitted Lien;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restriction contained therein relates only to the asset or assets subject to such Permitted Lien, (vi) customary restrictions and conditions contained in agreements relating to the sale of a Restricted Subsidiary of the Lead Borrower or assets of the Lead Borrower or any Restricted Subsidiary of the Lead Borrower pending such sale;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restrictions and conditions apply only to the Restricted Subsidiary or assets to be sold and such sale is not prohibited hereunder, (vii) any agreement or restriction or condition in effect at the time any Person becomes a Restricted Subsidiary of the Lead Borrower, so long as such agreement was not entered into solely in contemplation of such Person becoming a Restricted Subsidiary of the Lead Borrower, (viii) customary provisions in joint venture agreements and other similar agreements applicable to joint ventures, (ix) with respect to clause (d), restrictions or conditions imposed by any agreement relating to Incremental Equivalent Debt, Credit Agreement Refinancing Indebtedness or any other secured Indebtedness permitted by this Agreement if such restrictions or conditions apply only to the property or assets securing such Indebtedness, and (x) restrictions on cash or other deposits (including escrowed funds) imposed under contracts entered into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6.9</w:t>
        <w:tab/>
      </w:r>
      <w:r>
        <w:rPr>
          <w:rFonts w:ascii="Times New Roman;Times;Serif" w:hAnsi="Times New Roman;Times;Serif"/>
          <w:b/>
          <w:i w:val="false"/>
          <w:caps w:val="false"/>
          <w:smallCaps w:val="false"/>
          <w:sz w:val="20"/>
        </w:rPr>
        <w:t>Restricted Payments; Certain Payments of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Lead Borrower will not, nor will it permit any Restricted Subsidiary to, directly or indirectly, make or set apart any sum for or pay any Restricted Payment,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make dividends payable solely in the same class of Equity Interests of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make dividends or other distributions payable to the Credit Parties (directly or indirectly through its Restricted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after an offering of Qualified Equity Interests completed after the Closing Date, an amount equal to 8% per annum of the Net Cash Proceeds received by (or contributed to) the Lead Borrower and its Restricted Subsidiaries from any such offering(s) completed after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Restricted Payments in the form of cash dividends payable with respect to shares of the Lead Borrower’s Series A Convertible Preferred Stock in an amount not to exceed $2,000,000 per annum;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so long as no Event of Default under Section 7.1(a) has occurred and is continuing at the time of making such Restricted Payment or would immediately result therefrom, the Lead Borrower may make additional Restricted Payments in an aggregate amount not to exceed the Available Amount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solely to the extent that such Restricted Payment is made with any portion of the Available Amount described in clause (a) of the definition thereof, on a Pro Forma Basis, immediately after giving effect to such Restricted Payment, the use of proceeds thereof and all related pro forma adjustments, the Total Net Leverage Ratio, recomputed as of the last day of the most recent fiscal quarter for which financial statements are required to be delivered (or are actually delivered, if earlier) prior to such date and for the Test Period ending on such date, is less than or equal to 3.50:1.00;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so long as no Event of Default has occurred and is continuing at the time of making such Restricted Payment or would immediately result therefrom, the Lead Borrower may make additional unlimited Restricted Payments;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 a Pro Forma Basis, immediately after giving effect to such Restricted Payment, the use of proceeds thereof and all related pro forma adjustments, the Total Net Leverage Ratio, recomputed as of the last day of the most recent fiscal quarter for which financial statements are required to be delivered (or are actually delivered, if earlier) prior to such date and for the Test Period ending on such date, is less than or equal to 2.75:1.00;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so long as no Event of Default shall have occurred or would result therefrom, the Lead Borrower may make other Restricted Payments in an aggregate amount not to exceed the greater of $54,000,000 and 30.0% of Consolidated EBITDA for the most recently ended Test Period preceding the date of such Restricted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Lead Borrower will not, and will not permit any Restricted Subsidiary to make, directly or indirectly, any prepayment (including voluntary and mandatory prepayments), repurchase or redemption (whether in cash, securities or other property) of or in respect of principal or any interest, fees or other amounts of any Junior Financing, including any sinking fund or similar deposit, on account of the purchase, redemption, retirement, acquisition, cancellation or termination of the principal of any Junior Financing that has a substantially similar effect to any of the foregoing, in each case, prior to the scheduled maturity thereof (excluding any payments of regularly scheduled principal, interest, fees, expenses and indemnification obligations in compliance with the terms of this Agreement) (any of the foregoing, a “</w:t>
      </w:r>
      <w:r>
        <w:rPr>
          <w:rFonts w:ascii="Times New Roman;Times;Serif" w:hAnsi="Times New Roman;Times;Serif"/>
          <w:b w:val="false"/>
          <w:i w:val="false"/>
          <w:caps w:val="false"/>
          <w:smallCaps w:val="false"/>
          <w:sz w:val="20"/>
          <w:u w:val="single"/>
        </w:rPr>
        <w:t>Restricted Debt Payment</w:t>
      </w:r>
      <w:r>
        <w:rPr>
          <w:rFonts w:ascii="Times New Roman;Times;Serif" w:hAnsi="Times New Roman;Times;Serif"/>
          <w:b w:val="false"/>
          <w:i w:val="false"/>
          <w:caps w:val="false"/>
          <w:smallCaps w:val="false"/>
          <w:sz w:val="20"/>
        </w:rPr>
        <w:t>”),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mandatory prepayments of any Junior Financing (other than Subordinated Debt) not otherwise prohibited by the terms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Permitted Refinancings of Indebtedness permitted by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conversion of any Junior Financing to Equity Interests (other than Disqualified Equity Interests) of the Lead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so long as no Event of Default pursuant to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(solely with respect to a failure to comply with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has occurred and is continuing at the time of making such Restricted Debt Payment or would immediately result therefrom, additional Restricted Debt Payments in respect of any Junior Financings in an aggregate amount not to exceed the Available Amount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solely to the extent that such Restricted Debt Payment is made with any portion of the Available Amount described in clause (a) of the definition thereof, on a Pro Forma Basis, immediately after giving effect to such Restricted Debt Payment, the use of proceeds thereof and all related pro forma adjustments, the Total Net Leverage Ratio, recomputed as of the last day of the most recent fiscal quarter for which financial statements are required to be delivered (or are actually delivered, if earlier) prior to such date and for the Test Period ending on such date, is less than or equal to 3.50:1.00;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so long as no Event of Default has occurred and is continuing at the time of making such Restricted Debt Payment or would immediately result therefrom, additional unlimited Restricted Debt Payments;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 a Pro Forma Basis, immediately after giving effect to such Restricted Debt Payment, the use of proceeds thereof and all related pro forma adjustments, the Total Net Leverage Ratio, recomputed as of the last day of the most recent fiscal quarter for which financial statements are required to be delivered (or are actually delivered, if earlier) and for the Test Period ending on such date, is less than or equal to 2.75:1.00;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additional Restricted Debt Payments in an aggregate amount not to exceed the greater of $18,000,000 and 10% of Consolidated EBITDA for the most recent Test Period preceding the date of such Restricted Debt Payment;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 Restricted Debt Payments with Eligible Equity Proceeds, to the extent such Eligible Equity Proceeds have not otherwise been applied to make any Investment, Restricted Payment or Restricted Debt Payment hereunder and do not increase the Available Amount, (B) the conversion of all or any portion of any Junior Financing into Qualified Equity Interests of the Lead Borrower, (C) to the extent constituting a Restricted Debt Payment, payment-in-kind of interest with respect to any Junior Financing that is permitted under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(D) Restricted Debt Payments as part of an “applicable high yield discount obligation” catch up payment with respect to Indebtedness permitted by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6.10</w:t>
        <w:tab/>
      </w:r>
      <w:r>
        <w:rPr>
          <w:rFonts w:ascii="Times New Roman;Times;Serif" w:hAnsi="Times New Roman;Times;Serif"/>
          <w:b/>
          <w:i w:val="false"/>
          <w:caps w:val="false"/>
          <w:smallCaps w:val="false"/>
          <w:sz w:val="20"/>
        </w:rPr>
        <w:t>Sale Leasebacks.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Borrower will not, nor will it permit any Restricted Subsidiary to, directly or indirectly, become or remain liable as lessee or as guarantor or other surety with respect to any lease, whether an Operating Lease or a Capital Lease, of any property (whether real, personal or mixed), whether now owned or hereafter acquired, (a) which the Lead Borrower or any Restricted Subsidiary has sold or transferred or is to sell or transfer to a Person which is not a Restricted Subsidiary or (b) which the Lead Borrower or any Restricted Subsidiary intends to use for substantially the same purpose as any other property which has been sold or is to be sold or transferred by the Lead Borrower or a Restricted Subsidiary to another Person which is not the Lead Borrower or a Restricted Subsidiary in connection with such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6.11</w:t>
        <w:tab/>
      </w:r>
      <w:r>
        <w:rPr>
          <w:rFonts w:ascii="Times New Roman;Times;Serif" w:hAnsi="Times New Roman;Times;Serif"/>
          <w:b/>
          <w:i w:val="false"/>
          <w:caps w:val="false"/>
          <w:smallCaps w:val="false"/>
          <w:sz w:val="20"/>
        </w:rPr>
        <w:t>Amendments to Junior Financing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Borrower will not, nor will it permit any Restricted Subsidiary to, amend, modify, waive or extend or permit the amendment, modification, waiver or extension of any term of any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or relating to any Junior Financing in a manner that is materially adverse to the interests of the Lenders, subject to any applicable subordination or intercreditor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4"/>
        </w:rPr>
        <w:t>Article VII</w:t>
      </w:r>
      <w:r>
        <w:rPr>
          <w:rFonts w:ascii="Times New Roman;Times;Serif" w:hAnsi="Times New Roman;Times;Serif"/>
          <w:b/>
          <w:i w:val="false"/>
          <w:caps/>
          <w:sz w:val="20"/>
        </w:rPr>
        <w:br/>
        <w:br/>
        <w:t>EVENTS OF DEFAULT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7.1</w:t>
        <w:tab/>
      </w: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shall exist upon the occurrence of any of the following specified events (each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(i) Any Credit Party shall fail to pay any principal on any Loan or Note when due (whether at maturity, by reason of acceleration or otherwise) in accordance with the terms hereof or thereof; or (ii) any Credit Party shall fail to reimburse the Issuing Lender for any LOC Obligations when due (whether at maturity, by reason of acceleration or otherwise) in accordance with the terms hereof; or (iii) any Credit Party shall fail to pay any interest on any Loan or any fee or other amount payable hereunder when due (whether at maturity, by reason of acceleration or otherwise) in accordance with the terms hereof and such failure shall continue unremedied for five (5) Business Days; or (iv) any Guarantor shall fail to pay on the Guaranty in respect of any of the foregoing or in respect of any other Guaranty Obligations hereunder (after giving effect to the grace period in clause (iii));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Misrepresentation</w:t>
      </w:r>
      <w:r>
        <w:rPr>
          <w:rFonts w:ascii="Times New Roman;Times;Serif" w:hAnsi="Times New Roman;Times;Serif"/>
          <w:b w:val="false"/>
          <w:i w:val="false"/>
          <w:caps w:val="false"/>
          <w:smallCaps w:val="false"/>
          <w:sz w:val="20"/>
        </w:rPr>
        <w:t>. Any representation or warranty made or deemed made herein, in the Security Documents or in any of the other Credit Documents or which is contained in any certificate, document or financial or other statement furnished at any time under or in connection with this Agreement shall prove to have been (i) with respect to representations and warranties that contain a materiality qualification, incorrect or false on or as of the date made or deemed made and (ii) with respect to representations and warranties that do not contain a materiality qualification, incorrect or false in any material respect on or as of the date made or deemed made;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Covenant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Credit Party shall fail to perform, comply with or observe any term, covenant or agreement applicable to it contained in (A) </w:t>
      </w:r>
      <w:r>
        <w:rPr>
          <w:rFonts w:ascii="Times New Roman;Times;Serif" w:hAnsi="Times New Roman;Times;Serif"/>
          <w:b w:val="false"/>
          <w:i w:val="false"/>
          <w:caps w:val="false"/>
          <w:smallCaps w:val="false"/>
          <w:sz w:val="20"/>
          <w:u w:val="single"/>
        </w:rPr>
        <w:t>Sections 5.4</w:t>
      </w:r>
      <w:r>
        <w:rPr>
          <w:rFonts w:ascii="Times New Roman;Times;Serif" w:hAnsi="Times New Roman;Times;Serif"/>
          <w:b w:val="false"/>
          <w:i w:val="false"/>
          <w:caps w:val="false"/>
          <w:smallCaps w:val="false"/>
          <w:sz w:val="20"/>
        </w:rPr>
        <w:t xml:space="preserve"> (solely with respect to corporate or other formative existence), 5.7(a), 5.9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any such breach or failure is subject to </w:t>
      </w:r>
      <w:r>
        <w:rPr>
          <w:rFonts w:ascii="Times New Roman;Times;Serif" w:hAnsi="Times New Roman;Times;Serif"/>
          <w:b w:val="false"/>
          <w:i w:val="false"/>
          <w:caps w:val="false"/>
          <w:smallCaps w:val="false"/>
          <w:sz w:val="20"/>
          <w:u w:val="single"/>
        </w:rPr>
        <w:t>Section 5.9(c))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5.15(e)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5.16</w:t>
      </w:r>
      <w:r>
        <w:rPr>
          <w:rFonts w:ascii="Times New Roman;Times;Serif" w:hAnsi="Times New Roman;Times;Serif"/>
          <w:b w:val="false"/>
          <w:i w:val="false"/>
          <w:caps w:val="false"/>
          <w:smallCaps w:val="false"/>
          <w:sz w:val="20"/>
        </w:rPr>
        <w:t xml:space="preserve"> or Article VI hereof or (B)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with respect to this clause (B) only, such breach or failure to comply is not cured within ten (10) Business Days after notice thereof from the Administrative Agent to the Lead Borrower;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Credit Party shall fail to comply with any other covenant contained in this Agreement or the other Credit Documents or any other agreement, document or instrument among any Credit Party, the Administrative Agent and the Lenders or executed by any Credit Party in favor of the Administrative Agent or the Lenders (other than as described in </w:t>
      </w:r>
      <w:r>
        <w:rPr>
          <w:rFonts w:ascii="Times New Roman;Times;Serif" w:hAnsi="Times New Roman;Times;Serif"/>
          <w:b w:val="false"/>
          <w:i w:val="false"/>
          <w:caps w:val="false"/>
          <w:smallCaps w:val="false"/>
          <w:sz w:val="20"/>
          <w:u w:val="single"/>
        </w:rPr>
        <w:t>Sections 7.1(a)</w:t>
      </w:r>
      <w:r>
        <w:rPr>
          <w:rFonts w:ascii="Times New Roman;Times;Serif" w:hAnsi="Times New Roman;Times;Serif"/>
          <w:b w:val="false"/>
          <w:i w:val="false"/>
          <w:caps w:val="false"/>
          <w:smallCaps w:val="false"/>
          <w:sz w:val="20"/>
        </w:rPr>
        <w:t xml:space="preserve"> or 7.1(c)(i) above) and, with respect to this clause (ii) only, such breach or failure to comply is not cured within thirty (30) days after notice thereof from the Administrative Agent to the Lead Borrower;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Indebtedness Cross-Default</w:t>
      </w:r>
      <w:r>
        <w:rPr>
          <w:rFonts w:ascii="Times New Roman;Times;Serif" w:hAnsi="Times New Roman;Times;Serif"/>
          <w:b w:val="false"/>
          <w:i w:val="false"/>
          <w:caps w:val="false"/>
          <w:smallCaps w:val="false"/>
          <w:sz w:val="20"/>
        </w:rPr>
        <w:t>. (i) The Lead Borrower or any of its Restricted Subsidiaries shall default in any payment of principal of or interest on any Indebtedness (other than the Loans, Reimbursement Obligations and the Guaranty) in a principal amount outstanding of at least $35,000,000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Lead Borrower and any of its Restricted Subsidiaries in the aggregate beyond any applicable grace period, if any, provided in the instrument or agreement under which such Indebtedness was created; or (ii) after giving effect to any applicable grace or cure periods, the Lead Borrower or any of its Restricted Subsidiaries shall default in the observance or performance of any other agreement or condition relating to any Indebtedness (other than the Loans, Reimbursement Obligations and the Guaranty) in a principal amount outstanding of at least $35,000,000 in the aggregate for the Lead Borrower and its Restricted Subsidiaries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of such Indebtedness (or a trustee or agent on behalf of such holder or holders or beneficiary or beneficiaries) to cause, with the giving of notice if required, such Indebtedness to become due prior to its stated maturity or to be repurchased, prepaid, deferred or redeemed (automatically or otherwise) (other than, in each case, (1) any event that permits holders of any Convertible Notes to convert or exchange such Indebtedness into common stock of the Lead Borrower (or other securities or property following a merger event, reclassification or other change of the common stock of the Lead Borrower), cash or a combination thereof, (2) the conversion or exchange of any Convertible Notes into common stock of the Lead Borrower (or other securities or property following a merger event, reclassification or other change of the common stock of the Lead Borrower), cash or a combination thereof, (3) any repurchase, prepayment, defeasance, redemption, conversion or settlement with respect to any Convertible Notes, or satisfaction of any condition giving rise to or permitting the foregoing, pursuant to its terms unless such repurchase, prepayment, defeasance, redemption, conversion or settlement results from a default thereunder or an event of the type that constitutes an Event of Default, or (4) the occurrence of any early termination, unwind or cancellation and payment (each howsoever defined) of any Permitted Bond Hedge Transaction or any Permitted Warrant Transaction); or (iii) the Lead Borrower or any of its Restricted Subsidiaries shall breach or default any payment obligation under any Hedging Agreement that is a Bank Product;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Bankruptcy Default</w:t>
      </w:r>
      <w:r>
        <w:rPr>
          <w:rFonts w:ascii="Times New Roman;Times;Serif" w:hAnsi="Times New Roman;Times;Serif"/>
          <w:b w:val="false"/>
          <w:i w:val="false"/>
          <w:caps w:val="false"/>
          <w:smallCaps w:val="false"/>
          <w:sz w:val="20"/>
        </w:rPr>
        <w:t>. (i) The Lead Borrower or any Material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the Lead Borrower or any Material Subsidiary shall make a general assignment for the benefit of its creditors; or (ii) there shall be commenced against the Lead Borrower or any Material Subsidiary any case, proceeding or other action of a nature referred to in clause (i) above which (A) results in the entry of an order for relief or any such adjudication or appointment or (B) remains undismissed, undischarged or unbonded for a period of sixty (60) days; or (iii) the Lead Borrower or any Material Subsidiary shall take any action in furtherance of, or indicating its consent to, approval of, or acquiescence in, any of the acts set forth in clause (i) or (ii) above; or (iv) the Lead Borrower or any of its Material Subsidiaries shall generally not, or shall be unable to, or shall admit in writing their inability to, pay its debts as they become due;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Judgment Default</w:t>
      </w:r>
      <w:r>
        <w:rPr>
          <w:rFonts w:ascii="Times New Roman;Times;Serif" w:hAnsi="Times New Roman;Times;Serif"/>
          <w:b w:val="false"/>
          <w:i w:val="false"/>
          <w:caps w:val="false"/>
          <w:smallCaps w:val="false"/>
          <w:sz w:val="20"/>
        </w:rPr>
        <w:t>. (i) One or more monetary judgments or decrees shall be entered against the Lead Borrower or any of its Restricted Subsidiaries involving in the aggregate a liability (to the extent not covered by insurance) of $35,000,000 or more and all such judgments or decrees shall not have been paid and satisfied, vacated, discharged, stayed or bonded pending appeal within sixty (60) days from the entry thereof or (ii) any injunction, temporary restraining order or similar decree shall be issued against the Lead Borrower or any of its Restricted Subsidiaries that, individually or in the aggregate, could reasonably be expected to result in a Material Adverse Effect;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ERISA Default</w:t>
      </w:r>
      <w:r>
        <w:rPr>
          <w:rFonts w:ascii="Times New Roman;Times;Serif" w:hAnsi="Times New Roman;Times;Serif"/>
          <w:b w:val="false"/>
          <w:i w:val="false"/>
          <w:caps w:val="false"/>
          <w:smallCaps w:val="false"/>
          <w:sz w:val="20"/>
        </w:rPr>
        <w:t xml:space="preserve">. The occurrence of any of the following: (i) Any Person shall engage in any “prohibited transaction” (as defined in </w:t>
      </w:r>
      <w:r>
        <w:rPr>
          <w:rFonts w:ascii="Times New Roman;Times;Serif" w:hAnsi="Times New Roman;Times;Serif"/>
          <w:b w:val="false"/>
          <w:i w:val="false"/>
          <w:caps w:val="false"/>
          <w:smallCaps w:val="false"/>
          <w:sz w:val="20"/>
          <w:u w:val="single"/>
        </w:rPr>
        <w:t>Section 406</w:t>
      </w:r>
      <w:r>
        <w:rPr>
          <w:rFonts w:ascii="Times New Roman;Times;Serif" w:hAnsi="Times New Roman;Times;Serif"/>
          <w:b w:val="false"/>
          <w:i w:val="false"/>
          <w:caps w:val="false"/>
          <w:smallCaps w:val="false"/>
          <w:sz w:val="20"/>
        </w:rPr>
        <w:t xml:space="preserve"> of ERISA or </w:t>
      </w:r>
      <w:r>
        <w:rPr>
          <w:rFonts w:ascii="Times New Roman;Times;Serif" w:hAnsi="Times New Roman;Times;Serif"/>
          <w:b w:val="false"/>
          <w:i w:val="false"/>
          <w:caps w:val="false"/>
          <w:smallCaps w:val="false"/>
          <w:sz w:val="20"/>
          <w:u w:val="single"/>
        </w:rPr>
        <w:t>Section 4975</w:t>
      </w:r>
      <w:r>
        <w:rPr>
          <w:rFonts w:ascii="Times New Roman;Times;Serif" w:hAnsi="Times New Roman;Times;Serif"/>
          <w:b w:val="false"/>
          <w:i w:val="false"/>
          <w:caps w:val="false"/>
          <w:smallCaps w:val="false"/>
          <w:sz w:val="20"/>
        </w:rPr>
        <w:t xml:space="preserve"> of the Code) involving any ERISA Plan, (ii) any “accumulated funding deficiency” (as defined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of ERISA), whether or not waived, shall exist with respect to any ERISA Plan or any Lien in favor of the PBGC or an ERISA Plan (other than a Permitted Lien) shall arise on the assets of the Credit Parties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ERISA Plan for purposes of Title IV of ERISA, (iv) any Single Employer Plan shall terminate for purposes of Title IV of ERISA, (v) a Credit Party, any of its Subsidiaries or any Commonly Controlled Entity shall, or in the reasonable opinion of the Required Lenders is likely to, incur any liability in connection with a withdrawal from, or the Insolvency or Reorganization of, any Multiemployer Plan or (vi) any other similar event or condition shall occur or exist with respect to an ERISA Plan, in each case of clauses (i) through (vi) above, which event or condition, together with all other such events or conditions, if any, could reasonably be expected to result in a direct obligation of the Lead Borrower or any of its Restricted Subsidiaries to pay money that could reasonably be expected to have a Material Adverse Effect;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There shall occur a Change of Control;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Invalidity of Guaranty</w:t>
      </w:r>
      <w:r>
        <w:rPr>
          <w:rFonts w:ascii="Times New Roman;Times;Serif" w:hAnsi="Times New Roman;Times;Serif"/>
          <w:b w:val="false"/>
          <w:i w:val="false"/>
          <w:caps w:val="false"/>
          <w:smallCaps w:val="false"/>
          <w:sz w:val="20"/>
        </w:rPr>
        <w:t>. At any time after the execution and delivery thereof, the Guaranty, for any reason other than the satisfaction in full of all Credit Party Obligations, shall cease to be in full force and effect (other than in accordance with its terms) or shall be declared to be null and void, or any Credit Party shall contest the validity, enforceability, perfection or priority of the Guaranty, any Credit Document, or any Lien granted thereunder in writing or deny in writing that it has any further liability, including with respect to future advances by the Lenders, under any Credit Document to which it is a party (other than if in accordance with its terms or by reason of the satisfaction in full of all Credit Party Obligations (other than contingent obligations for which no claim has been made));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Invalidity of Credit Documents</w:t>
      </w:r>
      <w:r>
        <w:rPr>
          <w:rFonts w:ascii="Times New Roman;Times;Serif" w:hAnsi="Times New Roman;Times;Serif"/>
          <w:b w:val="false"/>
          <w:i w:val="false"/>
          <w:caps w:val="false"/>
          <w:smallCaps w:val="false"/>
          <w:sz w:val="20"/>
        </w:rPr>
        <w:t>. Any Credit Document shall fail to be in full force and effect or to give the Administrative Agent and/or the Lenders the security interests, liens, rights, powers, priority and privileges purported to be created thereby (except as such documents may be terminated or no longer in force and effect in accordance with the terms thereof, other than those indemnities and provisions which by their terms shall survive) or any Lien shall fail to be a first priority, perfected Lien (subject to Permitted Liens) on a material portion of the Collateral;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Classification as Senior Debt</w:t>
      </w:r>
      <w:r>
        <w:rPr>
          <w:rFonts w:ascii="Times New Roman;Times;Serif" w:hAnsi="Times New Roman;Times;Serif"/>
          <w:b w:val="false"/>
          <w:i w:val="false"/>
          <w:caps w:val="false"/>
          <w:smallCaps w:val="false"/>
          <w:sz w:val="20"/>
        </w:rPr>
        <w:t>. The Credit Party Obligations shall cease to be classified as “Senior Indebtedness,” “Designated Senior Indebtedness” or any similar designation under any Subordinated Debt instrument;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Default shall have occurred under the Credit Documents, then such Default will continue to exist until it either is cured (to the extent specifically permitted) in accordance with the Credit Documents or is otherwise expressly waived by Administrative Agent (with the approval of requisite Lenders (in their sole and absolute discretion) as determined in accordance with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and once an Event of Default occurs under the Credit Documents, then such Event of Default will continue to exist until it is expressly waived by the requisite Lenders or by the Administrative Agent with the approval of the requisite Lenders, as required hereunder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7.2</w:t>
        <w:tab/>
      </w:r>
      <w:r>
        <w:rPr>
          <w:rFonts w:ascii="Times New Roman;Times;Serif" w:hAnsi="Times New Roman;Times;Serif"/>
          <w:b/>
          <w:i w:val="false"/>
          <w:caps w:val="false"/>
          <w:smallCaps w:val="false"/>
          <w:sz w:val="20"/>
        </w:rPr>
        <w:t>Acceleration;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and during the continuance of an Event of Default, then, and in any such event, (a) if such event is a Bankruptcy Event, automatically the Commitments (other than the Initial Term Loan Commitments) shall immediately terminate and the Loans (with accrued interest thereon), and all other amounts under the Credit Documents (including, without limitation, the maximum amount of all contingent liabilities under Letters of Credit) shall immediately become due and payable, and (b) if such event is any other Event of Default, any or all of the following actions may be taken: (i) with the written consent of the Required Lenders, the Administrative Agent may, or upon the written request of the Required Lenders, the Administrative Agent shall, declare the Commitments (other than the Initial Term Loan Commitments) to be terminated forthwith, whereupon such Commitments shall immediately terminate; (ii) the Administrative Agent may, or upon the written request of the Required Lenders, the Administrative Agent shall, declare the Loans (with accrued interest thereon) and all other amounts owing under this Agreement and the Notes to be due and payable forthwith and direct the Borrowers to pay to the Administrative Agent cash collateral as security for the LOC Obligations for subsequent drawings under then outstanding Letters of Credit an amount equal to the maximum amount of which may be drawn under Letters of Credit then outstanding, whereupon the same shall immediately become due and payable; and/or (iii) with the written consent of the Required Lenders, the Administrative Agent may, or upon the written request of the Required Lenders, the Administrative Agent shall, exercise such other rights and remedies as provided under the Credit Documents and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4"/>
        </w:rPr>
        <w:t>Article VIII</w:t>
      </w:r>
      <w:r>
        <w:rPr>
          <w:rFonts w:ascii="Times New Roman;Times;Serif" w:hAnsi="Times New Roman;Times;Serif"/>
          <w:b/>
          <w:i w:val="false"/>
          <w:caps/>
          <w:sz w:val="20"/>
        </w:rPr>
        <w:br/>
        <w:br/>
        <w:t>THE ADMINISTRATIVE AGENT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8.1</w:t>
        <w:tab/>
      </w:r>
      <w:r>
        <w:rPr>
          <w:rFonts w:ascii="Times New Roman;Times;Serif" w:hAnsi="Times New Roman;Times;Serif"/>
          <w:b/>
          <w:i w:val="false"/>
          <w:caps w:val="false"/>
          <w:smallCaps w:val="false"/>
          <w:sz w:val="20"/>
        </w:rPr>
        <w:t>Authorization and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and each Issuing Lender hereby irrevocably appoints the entity named as Administrative Agent in the heading of this Agreement and its successors and assigns to serve as the administrative agent and collateral agent under the Credit Documents and each Lender and each Issuing Lender authorizes the Administrative Agent to take such actions as agent on its behalf and to exercise such powers under this Agreement and the other Credit Documents as are delegated to the Administrative Agent under such agreements and to exercise such powers as are reasonably incidental thereto. Without limiting the foregoing, each Lender and each Issuing Lender hereby authorizes the Administrative Agent to execute and deliver, and to perform its obligations under, each of the Credit Documents to which the Administrative Agent is a party, and to exercise all rights, powers and remedies that the Administrative Agent may have under such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to any matters not expressly provided for herein and in the other Credit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of the Credit Documents), and, unless and until revoked in writing, such instructions shall be binding upon each Lender and each Issuing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Lenders with respect to such action or (ii) is contrary to this Agreement or any other Credit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any requirement of law relating to bankruptcy, insolvency or reorganization or relief of debtors;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Administrative Agent may seek clarification or direction from the Required Lenders prior to the exercise of any such instructed action and may refrain from acting until such clarification or direction has been provided. Except as expressly set forth in the Credit Documents, the Administrative Agent shall not have any duty to disclose, and shall not be liable for the failure to disclose, any information relating to the Lead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performing its functions and duties hereunder and under the other Credit Documents, the Administrative Agent is acting solely on behalf of the Lenders and the Issuing Lenders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Lead Borrower. Without limiting the generality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does not assume and shall not be deemed to have assumed any obligation or duty or any other relationship as the agent, fiduciary or trustee of or for any Lender, Issuing Lender or any other holder of any Obligation other than as expressly set forth herein and in the other Credit Documents, regardless of whether a Default or an Event of Default has occurred and is continuing (and it is understood and agreed that the use of the term “agent” (or any similar term) herein or in any other Credit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nothing in this Agreement or any Credit Document shall require the Administrative Agent to account to any Lender for any sum or the profit element of any sum received by the Administrative Agent for its own account;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may perform any of its duties and exercise its rights and powers hereunder or under any other Credit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any Syndication Agent, Documentation Agent or Arranger shall have obligations or duties whatsoever in such capacity under this Agreement or any other Credit Document and shall incur no liability hereunder or thereunder in such capacity, but all such persons shall have the benefit of the indemnities provided for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case of the pendency of any proceeding with respect to any Credit Party under any Federal, state or foreign bankruptcy, insolvency, receivership or similar law now or hereafter in effect, the Administrative Agent (irrespective of whether the principal of any Loan or any LOC Obligation shall then be due and payable as herein expressed or by declaration or otherwise and irrespective of whether the Administrative Agent shall have made any demand on the Borrowers) shall be entitled and empowered (but not obligated) by intervention in such proceeding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file and prove a claim for the whole amount of the principal and interest owing and unpaid in respect of the Loans, LOC Obligations and all other Obligations that are owing and unpaid and to file such other documents as may be necessary or advisable in order to have the claims of the Lenders, the Issuing Lenders and the Administrative Agent allowed in such judicial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collect and receive any monies or other property payable or deliverable on any such claims and to distribute the same;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proceeding is hereby authorized by each Lender, each Issuing Lender and each other Secured Party to make such payments to the Administrative Agent and, in the event that the Administrative Agent shall consent to the making of such payments directly to the Lenders, the Issuing Lenders or the other Secured Parties, to pay to the Administrative Agent any amount due to it, in its capacity as the Administrative Agent, under the Credit Documents. Nothing contained herein shall be deemed to authorize the Administrative Agent to authorize or consent to or accept or adopt on behalf of any Lender or Issuing Lender any plan of reorganization, arrangement, adjustment or composition affecting the Obligations or the rights of any Lender or Issuing Lender or to authorize the Administrative Agent to vote in respect of the claim of any Lender or Issuing Lender in any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provisions of this Article are solely for the benefit of the Administrative Agent, the Lenders and the Issuing Lenders, and, except solely to the extent of the Borrowers’ rights to consent pursuant to and subject to the conditions set forth in this Article, none of the Lead Borrower or any Subsidiary, or any of their respective Affiliates, shall have any rights as a third party beneficiary under any such provisions. Each Secured Party, whether or not a party hereto, will be deemed, by its acceptance of the benefits of the Collateral and of the Guaranty of the Obligations provided under the Credit Documents, to have agreed to the provisions of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i w:val="false"/>
          <w:caps w:val="false"/>
          <w:smallCaps w:val="false"/>
          <w:sz w:val="20"/>
        </w:rPr>
        <w:t>Administrative Agent’s Reliance; Limitation of Liability, Etc.</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Administrative Agent nor any of its Related Parties shall be (i) liable for any action taken or omitted to be taken by such party, the Administrative Agent or any of its Related Parties under or in connection with this Agreement or the other Credit Documents (x) with the consent of or at the request of the Required Lenders (or such other number or percentage of the Lenders as shall be necessary, or as the Administrative Agent shall believe in good faith to be necessary, under the circumstances as provided in the Credit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Credit Party or any officer thereof contained in this Agreement or any other Credit Document or in any certificate, report, statement or other document referred to or provided for in, or received by the Administrative Agent under or in connection with, this Agreement or any other Credit Document or for the value, validity, effectiveness, genuineness, enforceability or sufficiency of this Agreement or any other Credit Document (including, for the avoidance of doubt, in connection with the Administrative Agent’s reliance on any Electronic Signature transmitted by telecopy,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5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emailed pdf. or any other electronic means that reproduces an image of an actual executed signature page) or for any failure of any Credit Party to perform its obligations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shall be deemed not to have knowledge of any (i) notice of any of the events or circumstances set forth or described in Section 5.7 unless and until written notice thereof stating that it is a “notice under Section 5.7” in respect of this Agreement and identifying the specific clause under said Section is given to the Administrative Agent by the Lead Borrower, or (ii) notice of any Default or Event of Default unless and until written notice thereof (stating that it is a “notice of Default” or a “notice of an Event of Default”) is given to the Administrative Agent by the Lead Borrower, a Lender or an Issuing Lender. Further, the Administrative Agent shall not be responsible for or have any duty to ascertain or inquire into (A) any statement, warranty or representation made in or in connection with any Credit Document, (B) the contents of any certificate, report or other document delivered thereunder or in connection therewith, (C) the performance or observance of any of the covenants, agreements or other terms or conditions set forth in any Credit Document or the occurrence of any Default or Event of Default, (D) the sufficiency, validity, enforceability, effectiveness or genuineness of any Credit Document or any other agreement, instrument or document, (E) the satisfaction of any condition set forth in </w:t>
      </w:r>
      <w:r>
        <w:rPr>
          <w:rFonts w:ascii="Times New Roman;Times;Serif" w:hAnsi="Times New Roman;Times;Serif"/>
          <w:b/>
          <w:i w:val="false"/>
          <w:caps w:val="false"/>
          <w:smallCaps w:val="false"/>
          <w:sz w:val="20"/>
        </w:rPr>
        <w:t xml:space="preserve">Error! Reference source not found. </w:t>
      </w:r>
      <w:r>
        <w:rPr>
          <w:rFonts w:ascii="Times New Roman;Times;Serif" w:hAnsi="Times New Roman;Times;Serif"/>
          <w:b w:val="false"/>
          <w:i w:val="false"/>
          <w:caps w:val="false"/>
          <w:smallCaps w:val="false"/>
          <w:sz w:val="20"/>
        </w:rPr>
        <w:t>or elsewhere in any Credit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(F) the creation, perfection or priority of Liens on the Collateral. Notwithstanding anything herein to the contrary, the Administrative Agent shall not be liable for, or be responsible for any liabilities, costs or expenses suffered by the Borrowers, any Subsidiary, any Lender or any Issuing Lender as a result of, any determination of the Revolving Credit Exposure, any of the component amounts thereof or any portion thereof attributable to each Lender or Issuing Lender, or any exchange rate or currency equivalent.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the foregoing, the Administrative Agent (i) may treat the payee of any promissory note as its holder until such promissory note has been assigned in accordance with Section 9.6, (ii)  may rely on the Register to the extent set forth in </w:t>
      </w:r>
      <w:r>
        <w:rPr>
          <w:rFonts w:ascii="Times New Roman;Times;Serif" w:hAnsi="Times New Roman;Times;Serif"/>
          <w:b/>
          <w:i w:val="false"/>
          <w:caps w:val="false"/>
          <w:smallCaps w:val="false"/>
          <w:sz w:val="20"/>
        </w:rPr>
        <w:t>Error! Reference source not found.</w:t>
      </w:r>
      <w:r>
        <w:rPr>
          <w:rFonts w:ascii="Times New Roman;Times;Serif" w:hAnsi="Times New Roman;Times;Serif"/>
          <w:b w:val="false"/>
          <w:i w:val="false"/>
          <w:caps w:val="false"/>
          <w:smallCaps w:val="false"/>
          <w:sz w:val="20"/>
        </w:rPr>
        <w:t xml:space="preserve">,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Lender and shall not be responsible to any Lender or Issuing Lender for any statements, warranties or representations made by or on behalf of any Credit Party in connection with this Agreement or any other Credit Document, (v) in determining compliance with any condition hereunder to the making of a Loan, or the issuance of a Letter of Credit, that by its terms must be fulfilled to the satisfaction of a Lender or an Issuing Lender, may presume that such condition is satisfactory to such Lender or Issuing Lender unless the Administrative Agent shall have received notice to the contrary from such Lender or Issuing Lender sufficiently in advance of the making of such Loan or the issuance of such Letter of Credit and (vi) shall be entitled to rely on, and shall incur no liability under or in respect of this Agreement or any other Credit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Credit Documents for being the maker thereof).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w:t>
        <w:tab/>
      </w:r>
      <w:r>
        <w:rPr>
          <w:rFonts w:ascii="Times New Roman;Times;Serif" w:hAnsi="Times New Roman;Times;Serif"/>
          <w:b/>
          <w:i w:val="false"/>
          <w:caps w:val="false"/>
          <w:smallCaps w:val="false"/>
          <w:sz w:val="20"/>
        </w:rPr>
        <w:t>The Administrative Agent Individually.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its Commitment, Loans, and Letters of Credit, the Person serving as the Administrative Agent shall have and may exercise the same rights and powers hereunder and is subject to the same obligations and liabilities as and to the extent set forth herein for any other Lender or Issuing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as the case may be. The terms “Issuing Lenders”, “Lenders”, “Required Lenders” and any similar terms shall, unless the context clearly otherwise indicates, include the Administrative Agent in its individual capacity as a Lender, Issuing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Lead Borrower, any Subsidiary or any Affiliate of any of the foregoing as if such Person was not acting as the Administrative Agent and without any duty to account therefor to the Lenders or the Issuing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w:t>
      </w:r>
      <w:r>
        <w:rPr>
          <w:rFonts w:ascii="Times New Roman;Times;Serif" w:hAnsi="Times New Roman;Times;Serif"/>
          <w:b/>
          <w:i w:val="false"/>
          <w:caps w:val="false"/>
          <w:smallCaps w:val="false"/>
          <w:sz w:val="20"/>
        </w:rPr>
        <w:tab/>
        <w:t>Acknowledgements of Lenders and Issuing Lenders.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and each Issuing Lender represents and warrants that (i) the Credit Documents set forth the terms of a commercial lending facility, (ii) in participating as a Lender, it is engaged in making, acquiring or holding commercial loans and in providing other facilities set forth herein as may be applicable to such Lender or Issuing Lender, in each case in the ordinary course of business, and not for the purpose of investing in the general performance or operations of the Borrowers, or for the purpose of purchasing, acquiring or holding any other type of financial instrument such as a security (and each Lender and each Issuing Lender agrees not to assert a claim in contravention of the foregoing, such as a claim under the federal or state securities law), (iii) it has, independently and without reliance upon the Administrative Agent, any Arranger, Syndication Agent or Documentation Agent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Arranger, Syndication Agent or Documentation Agent or any other Lender or Issuing Lender, or any of the Related Parties of any of the foregoing, and based on such documents and information (which may contain material, non-public information within the meaning of the United States securities laws concerning the Lead Borrower and its Affiliates) as it shall from time to time deem appropriate, continue to make its own decisions in taking or not taking action under or based upon this Agreement, any other Credit Document or any related agreement or any document furnished hereunder or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by delivering its signature page to this Agreement on the Closing Date, or delivering its signature page to an Assignment and Assumption or any other Credit Document pursuant to which it shall become a Lender hereunder, shall be deemed to have acknowledged receipt of, and consented to and approved, each Credit Document and each other document required to be delivered to, or be approved by or satisfactory to, the Administrative Agent or the Lenders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8.5</w:t>
      </w:r>
      <w:r>
        <w:rPr>
          <w:rFonts w:ascii="Times New Roman;Times;Serif" w:hAnsi="Times New Roman;Times;Serif"/>
          <w:b/>
          <w:i w:val="false"/>
          <w:caps w:val="false"/>
          <w:smallCaps w:val="false"/>
          <w:sz w:val="20"/>
        </w:rPr>
        <w:tab/>
        <w:t>[Reserved].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8.6</w:t>
        <w:tab/>
      </w:r>
      <w:r>
        <w:rPr>
          <w:rFonts w:ascii="Times New Roman;Times;Serif" w:hAnsi="Times New Roman;Times;Serif"/>
          <w:b/>
          <w:i w:val="false"/>
          <w:caps w:val="false"/>
          <w:smallCaps w:val="false"/>
          <w:sz w:val="20"/>
        </w:rPr>
        <w:t>[Reserved].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8.7</w:t>
      </w:r>
      <w:r>
        <w:rPr>
          <w:rFonts w:ascii="Times New Roman;Times;Serif" w:hAnsi="Times New Roman;Times;Serif"/>
          <w:b/>
          <w:i w:val="false"/>
          <w:caps w:val="false"/>
          <w:smallCaps w:val="false"/>
          <w:sz w:val="20"/>
        </w:rPr>
        <w:tab/>
        <w:t>Resignation of Administrative Agent.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at any time give notice of its resignation to the Lenders, the Issuing Lenders and the Lead Borrower. Upon receipt of any such notice of resignation, the Required Lenders shall have the right, with the written consent of the Lead Borrower (such consent not to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unreasonably withheld and which consent shall not be required during any period in which an Event of Default exists),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Times;Serif" w:hAnsi="Times New Roman;Times;Serif"/>
          <w:b w:val="false"/>
          <w:i w:val="false"/>
          <w:caps w:val="false"/>
          <w:smallCaps w:val="false"/>
          <w:sz w:val="20"/>
          <w:u w:val="single"/>
        </w:rPr>
        <w:t>Resignation Effective Date</w:t>
      </w:r>
      <w:r>
        <w:rPr>
          <w:rFonts w:ascii="Times New Roman;Times;Serif" w:hAnsi="Times New Roman;Times;Serif"/>
          <w:b w:val="false"/>
          <w:i w:val="false"/>
          <w:caps w:val="false"/>
          <w:smallCaps w:val="false"/>
          <w:sz w:val="20"/>
        </w:rPr>
        <w:t xml:space="preserve">”), then the retiring Administrative Agent may (but shall not be obligated to), on behalf of the Lenders and the Issuing Lenders, with the written consent of the Lead Borrower (such consent not to be unreasonably withheld and which consent shall not be required during any period in which an Event of Default exists), appoint a successor Administrative Agent meeting the qualifications set forth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Person serving as Administrative Agent is a Defaulting Lender pursuant to clause (d) of the definition thereof, the Required Lenders may, to the extent permitted by applicable law, by notice in writing to the Lead Borrower and such Person remove such Person as Administrative Agent and, with the written consent of the Lead Borrower (such consent not to be unreasonably withheld and which consent shall not be required during any period in which an Event of Default exists), appoint a successor. If no such successor shall have been so appointed by the Required Lenders and shall have accepted such appointment within thirty (30) days (or such earlier day as shall be agreed by the Required Lenders) (the “</w:t>
      </w:r>
      <w:r>
        <w:rPr>
          <w:rFonts w:ascii="Times New Roman;Times;Serif" w:hAnsi="Times New Roman;Times;Serif"/>
          <w:b w:val="false"/>
          <w:i w:val="false"/>
          <w:caps w:val="false"/>
          <w:smallCaps w:val="false"/>
          <w:sz w:val="20"/>
          <w:u w:val="single"/>
        </w:rPr>
        <w:t>Removal Effective Date</w:t>
      </w:r>
      <w:r>
        <w:rPr>
          <w:rFonts w:ascii="Times New Roman;Times;Serif" w:hAnsi="Times New Roman;Times;Serif"/>
          <w:b w:val="false"/>
          <w:i w:val="false"/>
          <w:caps w:val="false"/>
          <w:smallCaps w:val="false"/>
          <w:sz w:val="20"/>
        </w:rPr>
        <w:t>”), then such removal shall nonetheless become effective in accordance with such notice on the Removal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effect from the Resignation Effective Date or the Removal Effective Date (as applicable) (i) the retiring or removed Administrative Agent shall be discharged from its duties and obligations hereunder and under the other Credit Documents (except that in the case of any Collateral held by the Administrative Agent on behalf of the Lenders or the Issuing Lenders under any of the Credit Documents, the retiring Administrative Agent shall continue to hold such Collateral until such time as a successor Administrative Agent is appointed) and (ii) except for any indemnity payments owed to the retiring or removed Administrative Agent, all payments, communications and determinations provided to be made by, to or through the Administrative Agent shall instead be made by or to each Lender and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and under the other Credit Documents. The fees payable by the Lead Borrower to a successor Administrative Agent shall be the same as those payable to its predecessor unless otherwise agreed between the Lead Borrower and such successor. After the retiring or removed Administrative Agent’s resignation or removal hereunder and under the other Credit Documents, the provisions of this Article and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8.8</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8.9</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8.10</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8.11</w:t>
        <w:tab/>
      </w:r>
      <w:r>
        <w:rPr>
          <w:rFonts w:ascii="Times New Roman;Times;Serif" w:hAnsi="Times New Roman;Times;Serif"/>
          <w:b/>
          <w:i w:val="false"/>
          <w:caps w:val="false"/>
          <w:smallCaps w:val="false"/>
          <w:sz w:val="20"/>
        </w:rPr>
        <w:t>Collateral and Guaranty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Lenders, the Issuing Lenders and the Bank Product Providers irrevocably authorize and direct the Administrative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release any Lien on any Collateral granted to or held by the Administrative Agent under any Credit Document (A) upon termination of the Commitments and payment in full of all Credit Party Obligations (other than contingent indemnification obligations) and the expiration or termination of all Letters of Credit, (B) that is sold or otherwise disposed of or to be sold or otherwise disposed of as part of or in connection with any sale or other disposition permitted under the Credit Documents, or (C) subject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if approved, authorized or ratified in writing by the Required Lenders;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subordinate any Lien on any Collateral granted to or held by the Administrative Agent under any Credit Document to the holder of any Lien on such Collateral that is permitted by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release any Guarantor from its obligations under the applicable Guaranty if such Person ceases to be a Guarantor as a result of a transaction permitted hereunder;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release the Initial Subsidiary Borrower or any Additional Subsidiary Borrower from its obligations as a Borrower (but not a Guarantor unless clause (iii) above shall apply) hereunder upon the request of the Lead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Borrower shall be released from its obligations under the Credit Documents unless (i) the Lead Borrower delivers to the Administrative Agent a notice of termination with respect to such Borrower and (ii) the Lead Borrower shall remain liable for the obligations of such Borrower outstanding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by the Administrative Agent at any time, the Required Lenders will confirm in writing the Administrative Agent’s authority to release or subordinate its interest in particular types or items of Collateral, or to release any Guarantor from its obligations under the Guaranty pursuant to this Section. In each case as specified in this Section, the Administrative Agent is authorized, at the Lead Borrower’s expense, to execute and deliver to the applicable Credit Party such documents as such Credit Party may reasonably request to evidence the release of such item of Collateral from the Liens granted under the applicable Security Documents, or to release such Credit Party from its obligations under the applicable Security Documents, in each case in accordance with the terms of the Credit Documents and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or anything to the contrary herein or in any other Credit Document, no Guarantor shall (x) be deemed to be an Excluded Subsidiary pursuant to clause (a) of the definition thereof or (y) automatically be released and no liens on Collateral of such Guarantor shall automatically be released, in each case, solely as a result of such Guarantor ceasing to be a Wholly Owned Subsidiary of the Lead Borrower if (i) the disposition of equity interests of such Guarantor pursuant to which it ceased to be a Wholly Owned Subsidiary of the Lead Borrower was undertaken for the purpose of causing such Guarantor to cease to be a Guarantor or (ii) such Guarantor remains a majority-owned Subsidiary of the Lead Borrower and the other owners of Equity Interests in such Guarantor are Affiliates (or Related Parties) of the Lead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or any other Secured Party for any failure to monitor or maintain any portion of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8.12</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8.13</w:t>
        <w:tab/>
      </w: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Lenders agree to indemnify the Administrative Agent, the Issuing Lender, and the Swingline Lender in its capacity hereunder and their Affiliates and their respective officers, directors, agents and employees (to the extent not reimbursed by the Borrowers and without limiting the obligation of the Borrowers to do so), ratably according to their respective Commitment Percentages in effect on the date on which indemnification is sought under this Section, from and against any and all liabilities, obligations, losses, damages, penalties, actions, judgments, suits, costs, expenses or disbursements of any kind whatsoever which may at any time (including, without limitation, at any time following the payment of the Credit Party Obligations) be imposed on, incurred by or asserted against any such indemnitee in any way relating to or arising out of any Credit Document or any documents contemplated by or referred to herein or therein or the Transactions or any action taken or omitted by any such indemnitee under or in connection with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Lender shall be liable for the payment of any portion of such liabilities, obligations, losses, damages, penalties, actions, judgments, suits, costs, expenses or disbursements to the extent resulting from such indemnitee’s gross negligence or willful misconduct, as determined by a court of competent jurisdiction. The agreements in this Section shall survive the termination of this Agreement and payment of the Notes, any Reimbursement Obligation and all other amounts payable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8.14</w:t>
        <w:tab/>
      </w:r>
      <w:r>
        <w:rPr>
          <w:rFonts w:ascii="Times New Roman;Times;Serif" w:hAnsi="Times New Roman;Times;Serif"/>
          <w:b/>
          <w:i w:val="false"/>
          <w:caps w:val="false"/>
          <w:smallCaps w:val="false"/>
          <w:sz w:val="20"/>
        </w:rPr>
        <w:t>Credit Bidding.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on behalf of itself and the Secured Parties, shall have the right to credit bid and purchase for the benefit of the Administrative Agent and the Secured Parties all or any portion of Collateral at any sale thereof conducted by the Administrative Agent under the provisions of the UCC, including pursuant to </w:t>
      </w:r>
      <w:r>
        <w:rPr>
          <w:rFonts w:ascii="Times New Roman;Times;Serif" w:hAnsi="Times New Roman;Times;Serif"/>
          <w:b w:val="false"/>
          <w:i w:val="false"/>
          <w:caps w:val="false"/>
          <w:smallCaps w:val="false"/>
          <w:sz w:val="20"/>
          <w:u w:val="single"/>
        </w:rPr>
        <w:t>Sections 9-610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9-620</w:t>
      </w:r>
      <w:r>
        <w:rPr>
          <w:rFonts w:ascii="Times New Roman;Times;Serif" w:hAnsi="Times New Roman;Times;Serif"/>
          <w:b w:val="false"/>
          <w:i w:val="false"/>
          <w:caps w:val="false"/>
          <w:smallCaps w:val="false"/>
          <w:sz w:val="20"/>
        </w:rPr>
        <w:t xml:space="preserve"> of the UCC, at any sale thereof conducted under the provisions of the Bankruptcy Code, including </w:t>
      </w:r>
      <w:r>
        <w:rPr>
          <w:rFonts w:ascii="Times New Roman;Times;Serif" w:hAnsi="Times New Roman;Times;Serif"/>
          <w:b w:val="false"/>
          <w:i w:val="false"/>
          <w:caps w:val="false"/>
          <w:smallCaps w:val="false"/>
          <w:sz w:val="20"/>
          <w:u w:val="single"/>
        </w:rPr>
        <w:t>Section 363</w:t>
      </w:r>
      <w:r>
        <w:rPr>
          <w:rFonts w:ascii="Times New Roman;Times;Serif" w:hAnsi="Times New Roman;Times;Serif"/>
          <w:b w:val="false"/>
          <w:i w:val="false"/>
          <w:caps w:val="false"/>
          <w:smallCaps w:val="false"/>
          <w:sz w:val="20"/>
        </w:rPr>
        <w:t xml:space="preserve"> thereof, or a sale under a plan of reorganization, or at any other sale or foreclosure conducted by the Administrative Agent (whether by judicial action or otherwise)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hereby agrees that, except as otherwise provided in any Credit Documents or with the written consent of the Administrative Agent and the Required Lenders, it will not take any enforcement action, accelerate obligations under any Credit Documents, or exercise any right that it might otherwise have under applicable law to credit bid at foreclosure sales, UCC sales or other similar dispositions of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8.15</w:t>
        <w:tab/>
      </w:r>
      <w:r>
        <w:rPr>
          <w:rFonts w:ascii="Times New Roman;Times;Serif" w:hAnsi="Times New Roman;Times;Serif"/>
          <w:b/>
          <w:i w:val="false"/>
          <w:caps w:val="false"/>
          <w:smallCaps w:val="false"/>
          <w:sz w:val="20"/>
        </w:rPr>
        <w:t>Withholding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required by any applicable law, the Administrative Agent may withhold from any payment to any Lender an amount equivalent to any applicable withholding Tax. Without limiting or expanding the provisions of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each Lender shall, and does hereby,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Administrative Agent by the Internal Revenue Service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the Administrative Agent under this paragraph. For the avoidance of doubt, for purposes of this </w:t>
      </w:r>
      <w:r>
        <w:rPr>
          <w:rFonts w:ascii="Times New Roman;Times;Serif" w:hAnsi="Times New Roman;Times;Serif"/>
          <w:b w:val="false"/>
          <w:i w:val="false"/>
          <w:caps w:val="false"/>
          <w:smallCaps w:val="false"/>
          <w:sz w:val="20"/>
          <w:u w:val="single"/>
        </w:rPr>
        <w:t>Section 8.15</w:t>
      </w:r>
      <w:r>
        <w:rPr>
          <w:rFonts w:ascii="Times New Roman;Times;Serif" w:hAnsi="Times New Roman;Times;Serif"/>
          <w:b w:val="false"/>
          <w:i w:val="false"/>
          <w:caps w:val="false"/>
          <w:smallCaps w:val="false"/>
          <w:sz w:val="20"/>
        </w:rPr>
        <w:t>, the term “Lender” shall include any Issuing Lender. The agreements in this paragraph shall survive the resignation and/or replacement of the Administrative Agent, any assignment of rights by, or the replacement of, a Lender and the repayment, satisfaction or discharge of all other obligations under any Credit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8.16</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8.17</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8.18</w:t>
        <w:tab/>
      </w:r>
      <w:r>
        <w:rPr>
          <w:rFonts w:ascii="Times New Roman;Times;Serif" w:hAnsi="Times New Roman;Times;Serif"/>
          <w:b/>
          <w:i w:val="false"/>
          <w:caps w:val="false"/>
          <w:smallCaps w:val="false"/>
          <w:sz w:val="20"/>
        </w:rPr>
        <w:t>Lender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Anything contained in any of the Credit Documents to the contrary notwithstanding, the Borrowers, the Administrative Agent and each Lender hereby agree that the authority to enforce rights and remedies hereunder and under the other Credit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for the benefit of all the Lenders and Issuing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shall not prohibit any Lender (a) from exercising setoff rights in accordance with </w:t>
      </w:r>
      <w:r>
        <w:rPr>
          <w:rFonts w:ascii="Times New Roman;Times;Serif" w:hAnsi="Times New Roman;Times;Serif"/>
          <w:b w:val="false"/>
          <w:i w:val="false"/>
          <w:caps w:val="false"/>
          <w:smallCaps w:val="false"/>
          <w:sz w:val="20"/>
          <w:u w:val="single"/>
        </w:rPr>
        <w:t>Section 9 .7</w:t>
      </w:r>
      <w:r>
        <w:rPr>
          <w:rFonts w:ascii="Times New Roman;Times;Serif" w:hAnsi="Times New Roman;Times;Serif"/>
          <w:b w:val="false"/>
          <w:i w:val="false"/>
          <w:caps w:val="false"/>
          <w:smallCaps w:val="false"/>
          <w:sz w:val="20"/>
        </w:rPr>
        <w:t xml:space="preserve"> or (b) filing proofs of claims in any bankruptcy proceeding relative to any Credit Party under any Debtor Relief Law;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in addition to the matters set forth in clauses (a) and (b) of the preceding proviso, any Lender may, with the consent of the Required Lenders, enforce any rights and remedies available to it and as authorized by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8.19</w:t>
        <w:tab/>
      </w:r>
      <w:r>
        <w:rPr>
          <w:rFonts w:ascii="Times New Roman;Times;Serif" w:hAnsi="Times New Roman;Times;Serif"/>
          <w:b/>
          <w:i w:val="false"/>
          <w:caps w:val="false"/>
          <w:smallCaps w:val="false"/>
          <w:sz w:val="20"/>
        </w:rPr>
        <w:t>Secured Bank Product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Bank Product Provider that obtains the benefits of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the Security Documents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Article to the contrary, the Administrative Agent shall not be required to verify the payment of, or that other satisfactory arrangements have been made with respect to, Bank Product Debt unless the Administrative Agent has received written notice of such Credit Party Obligations, together with such supporting documentation as the Administrative Agent may request, from the applicable Bank Product Provider.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8.20</w:t>
        <w:tab/>
      </w:r>
      <w:r>
        <w:rPr>
          <w:rFonts w:ascii="Times New Roman;Times;Serif" w:hAnsi="Times New Roman;Times;Serif"/>
          <w:b/>
          <w:i w:val="false"/>
          <w:caps w:val="false"/>
          <w:smallCaps w:val="false"/>
          <w:sz w:val="20"/>
        </w:rPr>
        <w:t>Erroneous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notifies a Lender, Issuing Lender or Secured Party, or any Person who has received funds on behalf of a Lender, Issuing Lender or Secured Party such Lender or Issuing Lender (any such Lender, Issuing Lender, Secured Party or other recipient, a “</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that the Administrative Agent has determined in its sole discretion (whether or not after receipt of any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Lender, Secured Party or other Payment Recipient on its behalf) (any such funds, whether received as a payment, prepayment or repayment of principal, interest, fees, distribution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or Secured Party shall (or, with respect to any Payment Recipient who received such funds on its behalf, shall cause such Payment Recipient to)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 “</w:t>
      </w:r>
      <w:r>
        <w:rPr>
          <w:rFonts w:ascii="Times New Roman;Times;Serif" w:hAnsi="Times New Roman;Times;Serif"/>
          <w:b w:val="false"/>
          <w:i w:val="false"/>
          <w:caps w:val="false"/>
          <w:smallCaps w:val="false"/>
          <w:sz w:val="20"/>
          <w:u w:val="single"/>
        </w:rPr>
        <w:t>Payment Notice</w:t>
      </w:r>
      <w:r>
        <w:rPr>
          <w:rFonts w:ascii="Times New Roman;Times;Serif" w:hAnsi="Times New Roman;Times;Serif"/>
          <w:b w:val="false"/>
          <w:i w:val="false"/>
          <w:caps w:val="false"/>
          <w:smallCaps w:val="false"/>
          <w:sz w:val="20"/>
        </w:rPr>
        <w:t>”), (y) that was not preceded or accompanied by a Payment Notice, or (z) that such Payment Recipient otherwise becomes aware was transmitted, or received, in error or by mistake (in whole or in part) in each case: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in the case of immediately preceding </w:t>
      </w:r>
      <w:r>
        <w:rPr>
          <w:rFonts w:ascii="Times New Roman;Times;Serif" w:hAnsi="Times New Roman;Times;Serif"/>
          <w:b w:val="false"/>
          <w:i w:val="false"/>
          <w:caps w:val="false"/>
          <w:smallCaps w:val="false"/>
          <w:sz w:val="20"/>
          <w:u w:val="single"/>
        </w:rPr>
        <w:t>clauses (x)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an error shall be presumed to have been made (absent written confirmation from the Administrative Agent to the contrary) or (B) an error has been made (in the case of immediately preceding </w:t>
      </w:r>
      <w:r>
        <w:rPr>
          <w:rFonts w:ascii="Times New Roman;Times;Serif" w:hAnsi="Times New Roman;Times;Serif"/>
          <w:b w:val="false"/>
          <w:i w:val="false"/>
          <w:caps w:val="false"/>
          <w:smallCaps w:val="false"/>
          <w:sz w:val="20"/>
          <w:u w:val="single"/>
        </w:rPr>
        <w:t>clause (z)</w:t>
      </w:r>
      <w:r>
        <w:rPr>
          <w:rFonts w:ascii="Times New Roman;Times;Serif" w:hAnsi="Times New Roman;Times;Serif"/>
          <w:b w:val="false"/>
          <w:i w:val="false"/>
          <w:caps w:val="false"/>
          <w:smallCaps w:val="false"/>
          <w:sz w:val="20"/>
        </w:rPr>
        <w:t>), in each case, with respect to such payment, prepayment or repayment;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such Payment Recipient shall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Times;Serif" w:hAnsi="Times New Roman;Times;Serif"/>
          <w:b w:val="false"/>
          <w:i w:val="false"/>
          <w:caps w:val="false"/>
          <w:smallCaps w:val="false"/>
          <w:sz w:val="20"/>
          <w:u w:val="single"/>
        </w:rPr>
        <w:t>Section 8.20(b)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Issuing Lender or Secured Party hereby authorizes the Administrative Agent to set off, net and apply any and all amounts at any time owing to such Lender, Issuing Lender or Secured Party under any Credit Document, or otherwise payable or distributable by the Administrative Agent to such Lender, Issuing Lender or Secured Party under any Credit Document, against any amount due to the Administrative Agent under immediately preceding clause (a) or under the indemnification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an Erroneous Payment (or portion thereof) is not recovered by the Administrative Agent for any reason, after demand therefor by the Administrative Agent in accordance with immediately preceding clause (a), from any Lender or Issuing Lender that has received such Erroneous Payment (or portion thereof) (or from any Payment Recipient who received such Erroneous Payment (or portion thereof) on its respective behalf) (such unrecovered amount, an “</w:t>
      </w:r>
      <w:r>
        <w:rPr>
          <w:rFonts w:ascii="Times New Roman;Times;Serif" w:hAnsi="Times New Roman;Times;Serif"/>
          <w:b w:val="false"/>
          <w:i w:val="false"/>
          <w:caps w:val="false"/>
          <w:smallCaps w:val="false"/>
          <w:sz w:val="20"/>
          <w:u w:val="single"/>
        </w:rPr>
        <w:t>Erroneous Payment Return Deficiency</w:t>
      </w:r>
      <w:r>
        <w:rPr>
          <w:rFonts w:ascii="Times New Roman;Times;Serif" w:hAnsi="Times New Roman;Times;Serif"/>
          <w:b w:val="false"/>
          <w:i w:val="false"/>
          <w:caps w:val="false"/>
          <w:smallCaps w:val="false"/>
          <w:sz w:val="20"/>
        </w:rPr>
        <w:t>”), upon the Administrative Agent’s request to such Lender or Issuing Lender at any time, (i)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Lender or Issuing Lender shall be deemed to have assigned its Loans (but not its Commitments) of the relevant Class with respect to which such Erroneous Payment was made (the “</w:t>
      </w:r>
      <w:r>
        <w:rPr>
          <w:rFonts w:ascii="Times New Roman;Times;Serif" w:hAnsi="Times New Roman;Times;Serif"/>
          <w:b w:val="false"/>
          <w:i w:val="false"/>
          <w:caps w:val="false"/>
          <w:smallCaps w:val="false"/>
          <w:sz w:val="20"/>
          <w:u w:val="single"/>
        </w:rPr>
        <w:t>Erroneous Payment Impacted Class</w:t>
      </w:r>
      <w:r>
        <w:rPr>
          <w:rFonts w:ascii="Times New Roman;Times;Serif" w:hAnsi="Times New Roman;Times;Serif"/>
          <w:b w:val="false"/>
          <w:i w:val="false"/>
          <w:caps w:val="false"/>
          <w:smallCaps w:val="false"/>
          <w:sz w:val="20"/>
        </w:rPr>
        <w:t>”) in an amount equal to the Erroneous Payment Return Deficiency (such assignment of the Loans (but not Commitments) of the Erroneous Payment Impacted Class, the “</w:t>
      </w:r>
      <w:r>
        <w:rPr>
          <w:rFonts w:ascii="Times New Roman;Times;Serif" w:hAnsi="Times New Roman;Times;Serif"/>
          <w:b w:val="false"/>
          <w:i w:val="false"/>
          <w:caps w:val="false"/>
          <w:smallCaps w:val="false"/>
          <w:sz w:val="20"/>
          <w:u w:val="single"/>
        </w:rPr>
        <w:t>Erroneous Payment Deficiency Assignment</w:t>
      </w:r>
      <w:r>
        <w:rPr>
          <w:rFonts w:ascii="Times New Roman;Times;Serif" w:hAnsi="Times New Roman;Times;Serif"/>
          <w:b w:val="false"/>
          <w:i w:val="false"/>
          <w:caps w:val="false"/>
          <w:smallCaps w:val="false"/>
          <w:sz w:val="20"/>
        </w:rPr>
        <w:t xml:space="preserve">”) at par </w:t>
      </w:r>
      <w:r>
        <w:rPr>
          <w:rFonts w:ascii="Times New Roman;Times;Serif" w:hAnsi="Times New Roman;Times;Serif"/>
          <w:b w:val="false"/>
          <w:i w:val="false"/>
          <w:caps w:val="false"/>
          <w:smallCaps w:val="false"/>
          <w:sz w:val="20"/>
          <w:u w:val="single"/>
        </w:rPr>
        <w:t xml:space="preserve">plus </w:t>
      </w:r>
      <w:r>
        <w:rPr>
          <w:rFonts w:ascii="Times New Roman;Times;Serif" w:hAnsi="Times New Roman;Times;Serif"/>
          <w:b w:val="false"/>
          <w:i w:val="false"/>
          <w:caps w:val="false"/>
          <w:smallCaps w:val="false"/>
          <w:sz w:val="20"/>
        </w:rPr>
        <w:t>any accrued and unpaid interest (with the assignment fee to be waived by the Administrative Agent in such instance), and is hereby (together with the Lead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Lender shall deliver any Notes evidencing such Loans to the Lead Borrower or the Administrative Agent, (ii) the Administrative Agent as the assignee Lender shall be deemed to acquire the Erroneous Payment Deficiency Assignment, (iii) upon such deemed acquisition, the Administrative Agent as the assignee Lender shall become a Lender or Issuing Lender, as applicable, hereunder with respect to such Erroneous Payment Deficiency Assignment and the assigning Lender or assigning Issuing Lender shall cease to be a Lender or Issuing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Lender shall be reduced by the net proceeds of the sale of such Loan (or portion thereof), and the Administrative Agent shall retain all other rights, remedies and claims against such Lender or Issuing Lender (and/or against any recipient that receives funds on its respective behalf). For the avoidance of doubt, no Erroneous Payment Deficiency Assignment will reduce the Commitments of any Lender or Issuing Lender and such Commitments shall remain available in accordance with the terms of this Agreement. For the avoidance of doubt, no Erroneous Payment Deficiency Assignment will reduce the Commitments of any Lender or Issuing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Lender or Secured Party under the Credit Documents with respect to each Erroneous Payment Return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parties hereto agree that an Erroneous Payment shall not pay, prepay, repay, discharge or otherwise satisfy any Obligations owed by the Lead Borrower or any other Credit Party, except, in each case, to the extent such Erroneous Payment is, and solely with respect to the amount of such Erroneous Payment that is, comprised of funds received by the Administrative Agent from the Lead Borrower or any other Credit Party for the purpose of making such Erroneous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party’s obligations, agreements and waivers under this </w:t>
      </w:r>
      <w:r>
        <w:rPr>
          <w:rFonts w:ascii="Times New Roman;Times;Serif" w:hAnsi="Times New Roman;Times;Serif"/>
          <w:b w:val="false"/>
          <w:i w:val="false"/>
          <w:caps w:val="false"/>
          <w:smallCaps w:val="false"/>
          <w:sz w:val="20"/>
          <w:u w:val="single"/>
        </w:rPr>
        <w:t>Section 8.20</w:t>
      </w:r>
      <w:r>
        <w:rPr>
          <w:rFonts w:ascii="Times New Roman;Times;Serif" w:hAnsi="Times New Roman;Times;Serif"/>
          <w:b w:val="false"/>
          <w:i w:val="false"/>
          <w:caps w:val="false"/>
          <w:smallCaps w:val="false"/>
          <w:sz w:val="20"/>
        </w:rPr>
        <w:t xml:space="preserve"> shall survive the resignation or replacement of the Administrative Agent, any transfer of rights or obligations by, or the replacement of, a Lender or Issuing Lender, the termination of the Commitments and/or the repayment, satisfaction or discharge of all Obligations (or any portion thereof) under any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4"/>
        </w:rPr>
        <w:t>Article IX</w:t>
      </w:r>
      <w:r>
        <w:rPr>
          <w:rFonts w:ascii="Times New Roman;Times;Serif" w:hAnsi="Times New Roman;Times;Serif"/>
          <w:b/>
          <w:i w:val="false"/>
          <w:caps/>
          <w:sz w:val="20"/>
        </w:rPr>
        <w:br/>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9.1</w:t>
        <w:tab/>
      </w:r>
      <w:r>
        <w:rPr>
          <w:rFonts w:ascii="Times New Roman;Times;Serif" w:hAnsi="Times New Roman;Times;Serif"/>
          <w:b/>
          <w:i w:val="false"/>
          <w:caps w:val="false"/>
          <w:smallCaps w:val="false"/>
          <w:sz w:val="20"/>
        </w:rPr>
        <w:t>Amendments, Waivers, Consents and Release of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this Agreement nor any of the other Credit Documents, nor any terms hereof or thereof may be amended, modified, extended, restated, replaced, or supplemented (by amendment, waiver, consent or otherwise) except in accordance with the provisions of this Section, nor may Collateral be released except as specifically provided for herein or in the Security Documents. The Required Lenders may or, with the written consent of the Required Lenders, the Administrative Agent may, from time to time, (a)  enter into with the Borrowers written amendments, supplements or modifications hereto and to the other Credit Documents for the purpose of adding any provisions to this Agreement or the other Credit Documents or changing in any manner the rights of the Lenders or of the Borrowers hereunder or thereunder or (b) waive or consent to the departure from, on such terms and conditions as the Required Lenders may specify in such instrument, any of the requirements of this Agreement or the other Credit Documents or any Default or Event of Default and its consequences;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amendment, supplement, modification, release, waiver or consent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reduce the amount or extend the scheduled date of maturity of any Loan or any installment thereon, or (B) reduce the stated rate of any interest or fee payable hereunder (except in connection with a waiver of the Default Rate, which shall be determined by a vote of the Required Lenders) or (C) extend the scheduled date of any payment of any Loan or any installment thereon or (D) increase the amount or extend the expiration date of any Lender’s Commitment (or reinstate any Commitment terminated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in each case without the written consent of each Lender directly affected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it is understood and agreed that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no waiver, reduction or deferral of a mandatory prepayment required pursuant to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xml:space="preserve">, nor any amendment of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xml:space="preserve"> or the definitions of Asset Disposition, Debt Issuance, Equity Issuance or Extraordinary Receipt, shall constitute a reduction of the amount of, or an extension of the scheduled date of, the scheduled date of maturity of, or any installment of, any Loan, (2) any reduction in the stated rate of interest on Revolving Loans shall only require the written consent of each Lender holding a Revolving Commitment and (3) any reduction in the stated rate of interest on the Term Loans of any Class shall only require the written consent of each Lender holding a portion of the outstanding Term Loans of such Class;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amend, modify or waive any provision of this Section or reduce the percentage specified in the definition of (x) Required Lenders, without the written consent of all the Lenders or (y) Required Revolving Lenders without the written consent of all the Revolving Lenders;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release any Borrower or all or substantially all of the value of the Guaranty, without the written consent of all of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release any Guarantor permitted to be released pursuant to the terms of this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release all or substantially all of the value of the Collateral without the written consent of all of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release any Collateral permitted to be released pursuant to the terms of this Agreement or the Security Documents;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as permitted by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subordinate (i) the Liens on all or substantially all of the value of the Collateral to the Liens on such collateral securing any other Indebtedness or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right of payment of the Obligations to the right of payment of any other Indebtedness without the written consent of all of the Lenders (other than any such subordination to the extent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each directly and adversely affected Lender has been provided a right of first refusal to participate in such other Indebtedness on the same terms (other than arrangement or restructuring fees and reimbursement of fees and expenses) as offered to all other providers of such other Indebtedness);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amend, modify or waive any condition precedent to any Extension of Credit under the Revolving Facility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without the written consent of the Required Revolving Lenders;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permit any Borrower to assign or transfer any of its rights or obligations under this Agreement or other Credit Documents without the written consent of all of the Lenders;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amend, modify or waive any provision of the Credit Documents requiring consent, approval or request of all Lenders without the written consent of all the Lenders;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amend, modify or waive (A) the order in which Credit Party Obligations are paid or (B) the pro rata sharing of payments by and among the Lenders, in each case in accordance with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2.11(c)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 xml:space="preserve">Section 9.7(b) </w:t>
      </w:r>
      <w:r>
        <w:rPr>
          <w:rFonts w:ascii="Times New Roman;Times;Serif" w:hAnsi="Times New Roman;Times;Serif"/>
          <w:b w:val="false"/>
          <w:i w:val="false"/>
          <w:caps w:val="false"/>
          <w:smallCaps w:val="false"/>
          <w:sz w:val="20"/>
        </w:rPr>
        <w:t>without the written consent of each Lender directly affected thereby;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amend, modify or waive any provision of Article VIII without the written consent of the then Administrative Agent;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amend or modify the definition of Credit Party Obligations to delete or exclude any obligation or liability described therein without the written consent of each Lender directly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amendment, waiver or consent affecting the rights or duties of the Administrative Agent, any Issuing Lender or any Swingline Lender under any Credit Document shall in any event be effective, unless in writing and signed by the Administrative Agent, such Issuing Lender and/or such Swingline Lender, as applicable, in addition to the Lenders required hereinabove to take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such waiver, any such amendment, supplement or modification and any such release shall apply equally to each of the Lenders and shall be binding upon the Borrowers, the other Credit Parties, the Lenders, the Administrative Agent and all future holders of the Notes. In the case of any waiver, the Borrowers, the other Credit Parties, the Lenders and the Administrative Agent shall be restored to their former position and rights hereunder and under the outstanding Loans and Notes and other Credit Documents, and any Default or Event of Default waived shall be deemed to be cured and not continuing; but no such waiver shall extend to any subsequent or other Default or Event of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 of the foregoing to the contrary, the consent of the Borrowers and the other Credit Parties shall not be required for any amendment, modification or waiver of the provisions of Article VIII (other than the provisions of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 of the foregoing to the contrary, the Credit Parties and the Administrative Agent, without the consent of any Lender, may enter into any amendment, modification or waiver of (x) any Credit Document, or enter into any new agreement or instrument, to (i)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interests therein comply with applicable law or (ii) correct any error or omission of a technical or administrative nature, in each case that is immaterial (as determined by the Administrative Agent), in any provision of any Credit Document, if the same is not objected to in writing by the Required Lenders within five (5) Business Days following receipt of notice thereof or (y) the Fee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fact that the consent of all the Lenders is required in certain circumstances as set forth above, (a) each Lender is entitled to vote as such Lender sees fit on any bankruptcy reorganization plan that affects the Loans, and each Lender acknowledges that the provisions of </w:t>
      </w:r>
      <w:r>
        <w:rPr>
          <w:rFonts w:ascii="Times New Roman;Times;Serif" w:hAnsi="Times New Roman;Times;Serif"/>
          <w:b w:val="false"/>
          <w:i w:val="false"/>
          <w:caps w:val="false"/>
          <w:smallCaps w:val="false"/>
          <w:sz w:val="20"/>
          <w:u w:val="single"/>
        </w:rPr>
        <w:t>Section 1126(c)</w:t>
      </w:r>
      <w:r>
        <w:rPr>
          <w:rFonts w:ascii="Times New Roman;Times;Serif" w:hAnsi="Times New Roman;Times;Serif"/>
          <w:b w:val="false"/>
          <w:i w:val="false"/>
          <w:caps w:val="false"/>
          <w:smallCaps w:val="false"/>
          <w:sz w:val="20"/>
        </w:rPr>
        <w:t xml:space="preserve"> of the Bankruptcy Code supersedes the unanimous consent provisions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Required Lenders may consent to allow a Credit Party to use cash collateral in the context of a bankruptcy or insolvency proceeding and (c) no Defaulting Lender shall have any right to approve or disapprove any amendment, waiver or consent hereunder, except (i) that the Commitment of such Lender may not be increased or extended without the consent of such Lender and (ii) to the extent such amendment, waiver or consent impacts such Defaulting Lender more than the other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connection with any proposed amendment, modification, waiver or termination (a “</w:t>
      </w:r>
      <w:r>
        <w:rPr>
          <w:rFonts w:ascii="Times New Roman;Times;Serif" w:hAnsi="Times New Roman;Times;Serif"/>
          <w:b w:val="false"/>
          <w:i w:val="false"/>
          <w:caps w:val="false"/>
          <w:smallCaps w:val="false"/>
          <w:sz w:val="20"/>
          <w:u w:val="single"/>
        </w:rPr>
        <w:t>Proposed Change</w:t>
      </w:r>
      <w:r>
        <w:rPr>
          <w:rFonts w:ascii="Times New Roman;Times;Serif" w:hAnsi="Times New Roman;Times;Serif"/>
          <w:b w:val="false"/>
          <w:i w:val="false"/>
          <w:caps w:val="false"/>
          <w:smallCaps w:val="false"/>
          <w:sz w:val="20"/>
        </w:rPr>
        <w:t>”) requiring the consent of all Lenders or all directly and adversely affected Lenders, if the consent of the Required Lenders to such Proposed Change is obtained, but the consent to such Proposed Change of other Lenders whose consent is required is not obtained (any such Lender whose consent is not obtained being referred to as a “</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then, the Borrowers may, at their sole expense, upon notice to such Non-Consenting Lender and the Administrative Agent from the Lead Borrower, require such Non-Consenting Lender to assign and delegate, without recourse (in accordance with and subject to the restrictions contained in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 xml:space="preserve">), all its interests, rights and obligations under this Agreement to an Eligible Assignee that shall assume such obligations (which Eligible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Lead Borrower shall have received the prior written consent of the Administrative Agent to the extent such consent would be required under </w:t>
      </w:r>
      <w:r>
        <w:rPr>
          <w:rFonts w:ascii="Times New Roman;Times;Serif" w:hAnsi="Times New Roman;Times;Serif"/>
          <w:b w:val="false"/>
          <w:i w:val="false"/>
          <w:caps w:val="false"/>
          <w:smallCaps w:val="false"/>
          <w:sz w:val="20"/>
          <w:u w:val="single"/>
        </w:rPr>
        <w:t xml:space="preserve">Section 9.6(b) </w:t>
      </w:r>
      <w:r>
        <w:rPr>
          <w:rFonts w:ascii="Times New Roman;Times;Serif" w:hAnsi="Times New Roman;Times;Serif"/>
          <w:b w:val="false"/>
          <w:i w:val="false"/>
          <w:caps w:val="false"/>
          <w:smallCaps w:val="false"/>
          <w:sz w:val="20"/>
        </w:rPr>
        <w:t xml:space="preserve">for an assignment of Loans or Commitments, as applicable (and, if a Revolving Commitment is being assigned, each Swingline Lender and each Issuing Lender), which consents shall not unreasonably be withheld or delayed, (ii) such Non-Consenting Lender shall have received payment of an amount equal to the outstanding par principal amount of its Loans and participations in LOC Obligations, accrued interest thereon, accrued fees and all other amounts payable to it hereunder from the Eligible Assignee (to the extent of such outstanding principal and accrued interest and fees) or the Borrowers (in the case of all other amounts), and (iii) unless waived by the Administrative Agent, the Borrowers or such Eligible Assignee shall have paid to the Administrative Agent the processing and recordation fee specified in </w:t>
      </w:r>
      <w:r>
        <w:rPr>
          <w:rFonts w:ascii="Times New Roman;Times;Serif" w:hAnsi="Times New Roman;Times;Serif"/>
          <w:b w:val="false"/>
          <w:i w:val="false"/>
          <w:caps w:val="false"/>
          <w:smallCaps w:val="false"/>
          <w:sz w:val="20"/>
          <w:u w:val="single"/>
        </w:rPr>
        <w:t>Section 9.6(b)(iv)</w:t>
      </w:r>
      <w:r>
        <w:rPr>
          <w:rFonts w:ascii="Times New Roman;Times;Serif" w:hAnsi="Times New Roman;Times;Serif"/>
          <w:b w:val="false"/>
          <w:i w:val="false"/>
          <w:caps w:val="false"/>
          <w:smallCaps w:val="false"/>
          <w:sz w:val="20"/>
        </w:rPr>
        <w:t xml:space="preserve">. In the event that a Non-Consenting Lender does not comply with the requirements of the immediately-preceding sentence within one Business Day after receipt of such notice, each Lender hereby authorizes and directs the Administrative Agent to execute and deliver such documentation as may be required to give effect to an assignment in accordance with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 xml:space="preserve"> on behalf of a Non-Consenting Lender and any such documentation so executed by the Administrative Agent shall be effective for purposes of documenting an assignment pursuant to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Agreement or the other Credit Documents to the contrary, the Revolving Commitments, Term Loans and Revolving Credit Exposure of any Lender that is at the time a Defaulting Lender shall not have any voting or approval rights under the Credit Documents and shall be excluded in determining whether all Lenders (or all Lenders of a Class), all affected Lenders (or all affected Lenders of a Class), Required Lenders of any Class or the Required Lenders have taken or may take any action hereunder (including any consent to any amendment or waiver pursuant to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Notwithstanding anything in this Agreement or the other Credit Documents to the contrary, this Agreement may be amended and restated without the consent of any Lender (but with the consent of each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2.17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9.5</w:t>
      </w:r>
      <w:r>
        <w:rPr>
          <w:rFonts w:ascii="Times New Roman;Times;Serif" w:hAnsi="Times New Roman;Times;Serif"/>
          <w:b w:val="false"/>
          <w:i w:val="false"/>
          <w:caps w:val="false"/>
          <w:smallCaps w:val="false"/>
          <w:sz w:val="20"/>
        </w:rPr>
        <w:t>), such Lender shall have no other commitment or other obligation hereunder and such Lender shall have been paid in full all principal, interest and other amounts owing to it or accrued for its account under this Agreement (other than contingent indemnification obligations for which no claim has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For the avoidance of doubt and notwithstanding any provision to the contrary contained in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this Agreement may be amended (or amended and restated) with the written consent of the Credit Parties and the Administrative Agent in accordance with </w:t>
      </w:r>
      <w:r>
        <w:rPr>
          <w:rFonts w:ascii="Times New Roman;Times;Serif" w:hAnsi="Times New Roman;Times;Serif"/>
          <w:b w:val="false"/>
          <w:i w:val="false"/>
          <w:caps w:val="false"/>
          <w:smallCaps w:val="false"/>
          <w:sz w:val="20"/>
          <w:u w:val="single"/>
        </w:rPr>
        <w:t>Sections 2.13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9.2</w:t>
        <w:tab/>
      </w: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 Generally</w:t>
      </w:r>
      <w:r>
        <w:rPr>
          <w:rFonts w:ascii="Times New Roman;Times;Serif" w:hAnsi="Times New Roman;Times;Serif"/>
          <w:b w:val="false"/>
          <w:i w:val="false"/>
          <w:caps w:val="false"/>
          <w:smallCaps w:val="false"/>
          <w:sz w:val="20"/>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Lead Borrower or any other Credit Party: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 Pharmaceuticals, Inc.</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Main Street West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Baudette, MN 56623</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Stephen Carey</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218-634-3614</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218-634-3540</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Stephen.carey@anipharmaceuticals.com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to its address most recently provided in writing to the Lead Borrower and the Lenders,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any Issuing Lender, to its address most recently provided in writing to the Lead Borrower and the Administrative Agent,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a Lender, to it at its address (or facsimile number or email) set forth in its Administrative Questionnaire.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Electronic Communications</w:t>
      </w:r>
      <w:r>
        <w:rPr>
          <w:rFonts w:ascii="Times New Roman;Times;Serif" w:hAnsi="Times New Roman;Times;Serif"/>
          <w:b w:val="false"/>
          <w:i w:val="false"/>
          <w:caps w:val="false"/>
          <w:smallCaps w:val="false"/>
          <w:sz w:val="20"/>
        </w:rPr>
        <w:t xml:space="preserve">. Notices and other communications to the Lenders, the Swingline Lender and the Issuing Lender hereunder may be delivered or furnished by electronic communication (including e-mail and Internet or intranet websites)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to any Lender, the Swingline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Lender or the Issuing Lender pursuant to Article II if such Lender, the Swingline Lender or the Issuing Lender, as applicable, has notified the Administrative Agent that it is incapable of receiving notices under such Article by electronic communication. The Administrative Agent and/or each Borrower may, in its discretion, agree to accept notices and other communications to it hereunder by electronic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Change of Address, Etc</w:t>
      </w:r>
      <w:r>
        <w:rPr>
          <w:rFonts w:ascii="Times New Roman;Times;Serif" w:hAnsi="Times New Roman;Times;Serif"/>
          <w:b w:val="false"/>
          <w:i w:val="false"/>
          <w:caps w:val="false"/>
          <w:smallCaps w:val="false"/>
          <w:sz w:val="20"/>
        </w:rPr>
        <w:t>. Any party hereto may change its address or facsimile number or email for notices and other communications hereunder by notice to the other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Credit Party agrees that the Administrative Agent may, but shall not be obligated to, make the Communications (as defined below) available to the Issuing Lenders and the other Lenders by posting the Communications on the Platform.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Platform is provided “as is” and “as available.” The Agent Parties (as defined below) do not warrant the adequacy of the Platform and expressly disclaim liability for errors or omissions in the Communications other than any liabilities arising from the gross negligence, bad faith or willful misconduct of such Agent Party as determined in a final and non-appealable judgment by a court of competent jurisdiction.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Times;Serif" w:hAnsi="Times New Roman;Times;Serif"/>
          <w:b w:val="false"/>
          <w:i w:val="false"/>
          <w:caps w:val="false"/>
          <w:smallCaps w:val="false"/>
          <w:sz w:val="20"/>
          <w:u w:val="single"/>
        </w:rPr>
        <w:t>Agent Parties</w:t>
      </w:r>
      <w:r>
        <w:rPr>
          <w:rFonts w:ascii="Times New Roman;Times;Serif" w:hAnsi="Times New Roman;Times;Serif"/>
          <w:b w:val="false"/>
          <w:i w:val="false"/>
          <w:caps w:val="false"/>
          <w:smallCaps w:val="false"/>
          <w:sz w:val="20"/>
        </w:rPr>
        <w:t>”) have any liability to any Borrower or the other Credit Parties, any Lender or any other Person or entity for damages of any kind, including, without limitation, direct or indirect, special, incidental or consequential damages, losses or expenses (whether in tort, contract or otherwise) arising out of any Borrower’s, any Credit Party’s or the Administrative Agent’s transmission of communications through the Platform other than any liabilities arising from the gross negligence, bad faith or willful misconduct of such Agent Party as determined in a final and non-appealable judgment by a court of competent jurisdiction (it being understood and agreed that all communications so transmitted shall continue to be subject to the terms of the confidentiality provisions set forth herein). “</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shall mean, collectively, any notice, demand, communication, information, document or other material provided by or on behalf of any Credit Party pursuant to any Credit Document or the transactions contemplated therein which is distributed to the Administrative Agent, any Lender or any Issuing Lender by means of electronic communications pursuant to this Section, including through the Platform.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Reliance by Administrative Agent, Issuing Lenders and Lenders</w:t>
      </w:r>
      <w:r>
        <w:rPr>
          <w:rFonts w:ascii="Times New Roman;Times;Serif" w:hAnsi="Times New Roman;Times;Serif"/>
          <w:b w:val="false"/>
          <w:i w:val="false"/>
          <w:caps w:val="false"/>
          <w:smallCaps w:val="false"/>
          <w:sz w:val="20"/>
        </w:rPr>
        <w:t>. The Administrative Agent, the Issuing Lenders and the Lenders shall be entitled to rely and act upon any notices purportedly given by or on behalf of the Lead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jointly and severally, indemnify the Administrative Agent, each Issuing Lender, each Lender and the Related Parties from all losses, costs, expenses and liabilities resulting from the reliance by such Person on each notice purportedly given by or on behalf of the Lead Borrower in the absence of gross negligence, bad faith or willful misconduct of such Person as determined in a final and non-appealable judgment by a court of competent jurisdiction. All telephonic notices to and other telephonic communications with the Administrative Agent may be recorded by the Administrative Agent and each of the parties hereto hereby consents to such recording.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9.3</w:t>
        <w:tab/>
      </w:r>
      <w:r>
        <w:rPr>
          <w:rFonts w:ascii="Times New Roman;Times;Serif" w:hAnsi="Times New Roman;Times;Serif"/>
          <w:b/>
          <w:i w:val="false"/>
          <w:caps w:val="false"/>
          <w:smallCaps w:val="false"/>
          <w:sz w:val="20"/>
        </w:rPr>
        <w:t>No Waiver; Cumulative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to exercise and no delay in exercising, on the part of the Administrative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9.4</w:t>
        <w:tab/>
      </w:r>
      <w:r>
        <w:rPr>
          <w:rFonts w:ascii="Times New Roman;Times;Serif" w:hAnsi="Times New Roman;Times;Serif"/>
          <w:b/>
          <w:i w:val="false"/>
          <w:caps w:val="false"/>
          <w:smallCaps w:val="false"/>
          <w:sz w:val="20"/>
        </w:rPr>
        <w:t>Survival of 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representations and warranties made hereunder and in any document, certificate or statement delivered pursuant hereto or in connection herewith shall survive the execution and delivery of this Agreement and the making of the Extensions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representations and warranties shall terminate on the date upon which the Commitments have been terminated and all Credit Party Obligations have been paid in full (other than contingent indemnification obligations for which no claim has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9.5</w:t>
        <w:tab/>
      </w:r>
      <w:r>
        <w:rPr>
          <w:rFonts w:ascii="Times New Roman;Times;Serif" w:hAnsi="Times New Roman;Times;Serif"/>
          <w:b/>
          <w:i w:val="false"/>
          <w:caps w:val="false"/>
          <w:smallCaps w:val="false"/>
          <w:sz w:val="20"/>
        </w:rPr>
        <w:t>Payment of Expenses and Taxes; Indemnity.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xml:space="preserve"> .. The Borrowers shall, jointly and severally, pay (i) all reasonable and documented out-of-pocket expenses incurred by the Administrative Agent and its Affiliates (including, but not limited to, reasonable and documented consultant’s fees (to the extent any such consultant has been retained with the Lead Borrower’s prior written consent (such consent not to be unreasonably withheld, conditioned or delayed))), reasonable and documented travel expenses and reasonable and documented or invoiced out-of -pocket legal expenses of one firm of outside counsel for the Administrative Agent or its Affiliates, and, if necessary, of a single local counsel for the Administrative Agent or its Affiliates in each appropriate jurisdiction, but excluding the allocated costs of internal counsel, in each case, incurred in connection with the syndication of the credit facilities provided for herein, the preparation, negotiation, execution, delivery and administration of this Agreement and the other Credit Documents or any amendments, modifications or waivers of the provisions hereof or thereof, (ii) all reasonable and documented out-of-pocket expenses incurred by the Issuing Lenders and the Swingline Lenders in connection with the issuance, amendment, renewal or extension of any Letter of Credit or Swingline Loan or any demand for payment thereunder and (iii) all reasonable and documented out-of-pocket expenses incurred by the Administrative Agent, any Lender, any Issuing Lender or any Swingline Lender (including the reasonable and documented out-of -pocket fees, charges and disbursements of any counsel for the Administrative Agent, any Lender, any Swingline Lender or any Issuing Lender) in connection with the enforcement or protection of its rights (A) in connection with this Agreement and the other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including its rights under this Section, or (B) in connection with the Loans made or Letters of Credit issued hereunder, including all such reasonable and documented out-of-pocket expenses incurred during any workout, restructuring or negotiations in respect of such Loans or 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the Borrowers</w:t>
      </w:r>
      <w:r>
        <w:rPr>
          <w:rFonts w:ascii="Times New Roman;Times;Serif" w:hAnsi="Times New Roman;Times;Serif"/>
          <w:b w:val="false"/>
          <w:i w:val="false"/>
          <w:caps w:val="false"/>
          <w:smallCaps w:val="false"/>
          <w:sz w:val="20"/>
        </w:rPr>
        <w:t>. The Borrowers shall, jointly and severally, indemnify the Administrative Agent (and any sub-agent thereof), each Arranger, each Documentation Agent, each Syndication Agent, each Lender, each Issuing Lender and each Swingline Lender, and each Related Party of any of the foregoing Persons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against, and hold each Indemnitee harmless from, any and all losses, claims, penalties, damages, liabilities and related expenses, joint or several, to which any such Indemnitee may become subject, or any claim, litigation, investigation or proceeding (including any inquiry or investigation) (any of the foregoing,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xml:space="preserve">”), regardless of whether any such Indemnitee is a party thereto, whether or not such Proceedings are brought by a Borrower, the Company or their respective equity holders, Affiliates, creditors or any other third person, and reimburse each such Indemnitee for any reasonable and documented or invoiced out-of-pocket legal expenses of one firm of counsel for all such Indemnitees, taken as a whole, and, if necessary, of a single local counsel in each appropriate jurisdiction (which may include a single special counsel acting in multiple jurisdictions) for all such Indemnitees, taken as a whole, and, solely in the case of an actual or reasonably perceived conflict of interest where the Indemnitee affected by such conflict has informed you in writing of such conflict and thereafter retains separate counsel, one additional counsel in each applicable jurisdiction to each group of similarly affected Indemnitees, but in each and every case excluding the allocated costs of internal counsel, and other reasonable and documented or invoiced out-of-pocket fees and expenses, in each case, arising out of, in connection with, or as a result of (i) the execution or delivery of this Agreement, any other Credit Document or any agreement or instrument contemplated hereby or thereby, the performance by the parties hereto of their respective obligations hereunder or thereunder or the consummation of the Transactions, (ii) any Loan or Letter of Credit or the use or proposed use of the proceeds therefrom (including any refusal by an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the Lead Borrower or any of its Restricted Subsidiaries, or any liability under Environmental Law related in any way to the Lead Borrower or any of its Restricted Subsidiaries, or (iv) any actual or prospective Proceeding relating to any of the foregoing, whether based on contract, tort or any other theory, whether brought by a third party or by the Lead Borrower or any Restricted Subsidiary, and regardless of whether any Indemnitee is a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(i) the bad faith, gross negligence or willful misconduct of such Indemnitee or any of its Related Parties or (ii) a material breach in bad faith of the obligations of such Indemnitee under this Agreement or any other Credit Document, (B) disputes solely between or among Indemnitees that does not result from any act or omission by the Borrowers;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 dispute involves a claim or proceeding brought against any of the Administrative Agent or Arrangers in their capacities as such by other Indemnitees, the Administrative Agent or such Arranger shall be entitled, subject to the other limitations and exceptions set forth in this </w:t>
      </w:r>
      <w:r>
        <w:rPr>
          <w:rFonts w:ascii="Times New Roman;Times;Serif" w:hAnsi="Times New Roman;Times;Serif"/>
          <w:b w:val="false"/>
          <w:i w:val="false"/>
          <w:caps w:val="false"/>
          <w:smallCaps w:val="false"/>
          <w:sz w:val="20"/>
          <w:u w:val="single"/>
        </w:rPr>
        <w:t>Section 9.5(b)</w:t>
      </w:r>
      <w:r>
        <w:rPr>
          <w:rFonts w:ascii="Times New Roman;Times;Serif" w:hAnsi="Times New Roman;Times;Serif"/>
          <w:b w:val="false"/>
          <w:i w:val="false"/>
          <w:caps w:val="false"/>
          <w:smallCaps w:val="false"/>
          <w:sz w:val="20"/>
        </w:rPr>
        <w:t xml:space="preserve">, to the benefits of the indemnifications provided for in this </w:t>
      </w:r>
      <w:r>
        <w:rPr>
          <w:rFonts w:ascii="Times New Roman;Times;Serif" w:hAnsi="Times New Roman;Times;Serif"/>
          <w:b w:val="false"/>
          <w:i w:val="false"/>
          <w:caps w:val="false"/>
          <w:smallCaps w:val="false"/>
          <w:sz w:val="20"/>
          <w:u w:val="single"/>
        </w:rPr>
        <w:t xml:space="preserve">Section 9.5(b) </w:t>
      </w:r>
      <w:r>
        <w:rPr>
          <w:rFonts w:ascii="Times New Roman;Times;Serif" w:hAnsi="Times New Roman;Times;Serif"/>
          <w:b w:val="false"/>
          <w:i w:val="false"/>
          <w:caps w:val="false"/>
          <w:smallCaps w:val="false"/>
          <w:sz w:val="20"/>
        </w:rPr>
        <w:t xml:space="preserve">or (C) result from a claim brought by the Lead Borrower or any Restricted Subsidiary against an Indemnitee for breach in bad faith of such Indemnitee’s obligations hereunder or under any other Credit Document, if the Lead Borrower or such Restricted Subsidiary has obtained a final and nonappealable judgment in its favor on such claim as determined by a court of competent jurisdiction. This </w:t>
      </w:r>
      <w:r>
        <w:rPr>
          <w:rFonts w:ascii="Times New Roman;Times;Serif" w:hAnsi="Times New Roman;Times;Serif"/>
          <w:b w:val="false"/>
          <w:i w:val="false"/>
          <w:caps w:val="false"/>
          <w:smallCaps w:val="false"/>
          <w:sz w:val="20"/>
          <w:u w:val="single"/>
        </w:rPr>
        <w:t>Section 9.5(b)</w:t>
      </w:r>
      <w:r>
        <w:rPr>
          <w:rFonts w:ascii="Times New Roman;Times;Serif" w:hAnsi="Times New Roman;Times;Serif"/>
          <w:b w:val="false"/>
          <w:i w:val="false"/>
          <w:caps w:val="false"/>
          <w:smallCaps w:val="false"/>
          <w:sz w:val="20"/>
        </w:rPr>
        <w:t xml:space="preserve"> shall not apply with respect to Taxes other than any Taxes that represent losses, claims, damages, etc. arising from any non-Tax claim. Notwithstanding the foregoing, the Borrowers shall only be responsible to indemnify the Indemnitees for one external counsel and one external local counsel in each applicable jurisdiction if required and as selected by the Administrative Agent (and to the extent an Indemnitee determines, after consultation with legal counsel, that an actual or potential conflict may exist,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separate legal counsel for each group of similarly affected Indemnitees, taken as a whole in each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Reimbursement by Lenders</w:t>
      </w:r>
      <w:r>
        <w:rPr>
          <w:rFonts w:ascii="Times New Roman;Times;Serif" w:hAnsi="Times New Roman;Times;Serif"/>
          <w:b w:val="false"/>
          <w:i w:val="false"/>
          <w:caps w:val="false"/>
          <w:smallCaps w:val="false"/>
          <w:sz w:val="20"/>
        </w:rPr>
        <w:t xml:space="preserve">. To the extent that the Borrowers for any reason fail to indefeasibly pay any amount required under paragraph (a) or (b) of this Section to be paid by it to the Administrative Agent (or any sub-agent thereof), the Issuing Lender, Swingline Lender or any Related Party of any of the foregoing, each Lender severally agrees to pay to the Administrative Agent (or any such sub-agent), the Issuing Lender, Swingline Lender or such Related Party, as the case may be, such Lender’s Commitment Percentage (determined as of the time that the applicable unreimbursed expense or indemnity payment is sought) of such unpaid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the Administrative Agent (or any such sub-agent), the Issuing Lender or Swingline Lender in its capacity as such, or against any Related Party of any of the foregoing acting for the Administrative Agent (or any such sub-agent), Issuing Lender or Swingline Lender in connection with such capacity.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Waiver of Consequential Damages, Etc</w:t>
      </w:r>
      <w:r>
        <w:rPr>
          <w:rFonts w:ascii="Times New Roman;Times;Serif" w:hAnsi="Times New Roman;Times;Serif"/>
          <w:b w:val="false"/>
          <w:i w:val="false"/>
          <w:caps w:val="false"/>
          <w:smallCaps w:val="false"/>
          <w:sz w:val="20"/>
        </w:rPr>
        <w:t xml:space="preserve">. To the fullest extent permitted by applicable law, no party hereto shall assert, and each party hereto hereby waives, any claim against any Indemnitee or other party hereto, on any theory of liability, for special, indirect, exemplary, consequential (including, without limitation, any loss of profits, business or anticipated savings) or punitive damages (as opposed to direct or actual damages) arising out of, in connection with, or as a result of, this Agreement, any other Credit Document or any agreement or instrument contemplated hereby, the Transactions, any Loan or Letter of Credit or the use of the proceeds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9.5(d)</w:t>
      </w:r>
      <w:r>
        <w:rPr>
          <w:rFonts w:ascii="Times New Roman;Times;Serif" w:hAnsi="Times New Roman;Times;Serif"/>
          <w:b w:val="false"/>
          <w:i w:val="false"/>
          <w:caps w:val="false"/>
          <w:smallCaps w:val="false"/>
          <w:sz w:val="20"/>
        </w:rPr>
        <w:t xml:space="preserve"> shall relieve any Borrower of any obligation it may have to indemnify an Indemnitee, as provided in </w:t>
      </w:r>
      <w:r>
        <w:rPr>
          <w:rFonts w:ascii="Times New Roman;Times;Serif" w:hAnsi="Times New Roman;Times;Serif"/>
          <w:b w:val="false"/>
          <w:i w:val="false"/>
          <w:caps w:val="false"/>
          <w:smallCaps w:val="false"/>
          <w:sz w:val="20"/>
          <w:u w:val="single"/>
        </w:rPr>
        <w:t>Section 9.5(d)</w:t>
      </w:r>
      <w:r>
        <w:rPr>
          <w:rFonts w:ascii="Times New Roman;Times;Serif" w:hAnsi="Times New Roman;Times;Serif"/>
          <w:b w:val="false"/>
          <w:i w:val="false"/>
          <w:caps w:val="false"/>
          <w:smallCaps w:val="false"/>
          <w:sz w:val="20"/>
        </w:rPr>
        <w:t xml:space="preserve"> against any special, indirect, exemplary, consequential or punitive damages asserted against such Indemnitee by a third party.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other than any liabilities arising from the gross negligence, bad faith or willful misconduct of such Indemnitee as determined in a final and non-appealable judgment by a court of competent jurisdiction (it being understood and agreed that information so transmitted shall continue to be subject to the terms of the confidentiality provisions set forth herein).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All amounts due under this Section shall be payable promptly, and in any event within thirty (30) days after demand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agreements in this </w:t>
      </w:r>
      <w:r>
        <w:rPr>
          <w:rFonts w:ascii="Times New Roman;Times;Serif" w:hAnsi="Times New Roman;Times;Serif"/>
          <w:b w:val="false"/>
          <w:i w:val="false"/>
          <w:caps w:val="false"/>
          <w:smallCaps w:val="false"/>
          <w:sz w:val="20"/>
          <w:u w:val="single"/>
        </w:rPr>
        <w:t xml:space="preserve">Section 9.5 </w:t>
      </w:r>
      <w:r>
        <w:rPr>
          <w:rFonts w:ascii="Times New Roman;Times;Serif" w:hAnsi="Times New Roman;Times;Serif"/>
          <w:b w:val="false"/>
          <w:i w:val="false"/>
          <w:caps w:val="false"/>
          <w:smallCaps w:val="false"/>
          <w:sz w:val="20"/>
        </w:rPr>
        <w:t>shall survive the resignation or removal of the Administrative Agent, the replacement of any Lender, the termination of this Agreement and the repayment, satisfaction or discharge of the Credit Party Obligations (other than contingent indemnification obligations for which no claim has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9.6</w:t>
        <w:tab/>
      </w:r>
      <w:r>
        <w:rPr>
          <w:rFonts w:ascii="Times New Roman;Times;Serif" w:hAnsi="Times New Roman;Times;Serif"/>
          <w:b/>
          <w:i w:val="false"/>
          <w:caps w:val="false"/>
          <w:smallCaps w:val="false"/>
          <w:sz w:val="20"/>
        </w:rPr>
        <w:t>Successors and Assigns; Participations.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Successors and Assigns Generally</w:t>
      </w:r>
      <w:r>
        <w:rPr>
          <w:rFonts w:ascii="Times New Roman;Times;Serif" w:hAnsi="Times New Roman;Times;Serif"/>
          <w:b w:val="false"/>
          <w:i w:val="false"/>
          <w:caps w:val="false"/>
          <w:smallCaps w:val="false"/>
          <w:sz w:val="20"/>
        </w:rPr>
        <w:t>.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Assignments by Lenders</w:t>
      </w:r>
      <w:r>
        <w:rPr>
          <w:rFonts w:ascii="Times New Roman;Times;Serif" w:hAnsi="Times New Roman;Times;Serif"/>
          <w:b w:val="false"/>
          <w:i w:val="false"/>
          <w:caps w:val="false"/>
          <w:smallCaps w:val="false"/>
          <w:sz w:val="20"/>
        </w:rPr>
        <w:t xml:space="preserve">. Any Lender may at any time assign to one or more assignees all or a portion of its rights and obligations under this Agreement (including all or a portion of its Commitment and the Loans at the time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with respect to any Borrowing) any such assignment shall be subject to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Minimum Amounts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an assignment of the entire remaining amount of the assigning Lender’s Commitment and/or the Loans at the time owing to it (in each case with respect to any Borrowing) or contemporaneous assignments to related Approved Funds (determined after giving effect to such assignment) that equal at least the amount specified in paragraph (b)(i)(B) of this Section in the aggregate or in the case of an assignment to a Lender, an Affiliate of a Lender or an Approved Fund, no minimum amount need be assigned;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$2,500,000, in the case of any assignment in respect of the Revolving Facility, or $1,000,000, in the case of any assignment in respect of the Term Loan Facility, unless (x) each of the Administrative Agent and, so long as no Event of Default has occurred and is continuing, the Lead Borrower otherwise consents (each such consent not to be unreasonably withheld or delayed) or, (y) if less, all of such Lender’s remaining Loans and commitments of the applicable Class.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Proportionate Amounts</w:t>
      </w:r>
      <w:r>
        <w:rPr>
          <w:rFonts w:ascii="Times New Roman;Times;Serif" w:hAnsi="Times New Roman;Times;Serif"/>
          <w:b w:val="false"/>
          <w:i w:val="false"/>
          <w:caps w:val="false"/>
          <w:smallCaps w:val="false"/>
          <w:sz w:val="20"/>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Borrowings on a non-pro rata basis.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Required Consents</w:t>
      </w:r>
      <w:r>
        <w:rPr>
          <w:rFonts w:ascii="Times New Roman;Times;Serif" w:hAnsi="Times New Roman;Times;Serif"/>
          <w:b w:val="false"/>
          <w:i w:val="false"/>
          <w:caps w:val="false"/>
          <w:smallCaps w:val="false"/>
          <w:sz w:val="20"/>
        </w:rPr>
        <w:t>. No consent shall be required for any assignment except to the extent required by paragraph (b)(i)(B) of this Section and, in addition: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consent of the Lead Borrower (such consent not to be unreasonably withheld, conditioned or delayed) shall be required unless (w) a Specified Event of Default has occurred and is continuing at the time of such assignment, (x) with respect to any Term Loans, such assignment is to a Lender, an Affiliate of a Lender or an Approved Fund or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with respect to any Revolving Loans, such assignment is to a Revolving Lender or an Affiliate of a Revolving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(other than in the case of clause (x) or (y) above) the Lead Borrower shall be deemed to have consented to any such assignment unless it shall object thereto by written notice to the Administrative Agent within ten (10)</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Business Days after having received notice thereof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assignment by a Lender of an Initial Term Loan Commitment (other than an assignment by a Lender to its Affiliate) shall require the consent of the Lead Borrower which may be withheld in its sole discretion;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 of the Administrative Agent (such consent not to be unreasonably withheld, conditioned or delayed) shall be required for assignments to any Person that is not a Lender, an Affiliate of a Lender or an Approved Fund;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consent of each Issuing Lender and Swingline Lender (such consent not to be unreasonably withheld or delayed) shall be required for assignments in respect of a Revolving Commitment.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The parties to each assignment shall execute and deliver to the Administrative Agent an Assignment and Assumption, together with a processing and recordation fee of $3,500;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Assignment to Certain Persons</w:t>
      </w:r>
      <w:r>
        <w:rPr>
          <w:rFonts w:ascii="Times New Roman;Times;Serif" w:hAnsi="Times New Roman;Times;Serif"/>
          <w:b w:val="false"/>
          <w:i w:val="false"/>
          <w:caps w:val="false"/>
          <w:smallCaps w:val="false"/>
          <w:sz w:val="20"/>
        </w:rPr>
        <w:t>. No such assignment shall be made to (A) the Lead Borrower or the Lead Borrower’s Affiliates or Subsidiaries, (B) any Defaulting Lender or any of its Subsidiaries or any Person who, upon becoming a Lender hereunder, would constitute a Defaulting Lender or a Subsidiary thereof or (C) any Disqualified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No Assignment to Natural Persons</w:t>
      </w:r>
      <w:r>
        <w:rPr>
          <w:rFonts w:ascii="Times New Roman;Times;Serif" w:hAnsi="Times New Roman;Times;Serif"/>
          <w:b w:val="false"/>
          <w:i w:val="false"/>
          <w:caps w:val="false"/>
          <w:smallCaps w:val="false"/>
          <w:sz w:val="20"/>
        </w:rPr>
        <w:t>. No such assignment shall be made to a natural Person (or a holding company, investment vehicle or trust for, or owned and operated for the primary benefit of, a natural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Certain Additional Payments</w:t>
      </w:r>
      <w:r>
        <w:rPr>
          <w:rFonts w:ascii="Times New Roman;Times;Serif" w:hAnsi="Times New Roman;Times;Serif"/>
          <w:b w:val="false"/>
          <w:i w:val="false"/>
          <w:caps w:val="false"/>
          <w:smallCaps w:val="false"/>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Lead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each Issuing Lender, each Swingline Lender and each other Lender hereunder (and interest accrued thereon), and (B) acquire (and fund as appropriate) its full pro rata share of all Loans and participations in Letters of Credit and Swingline Loans in accordance with its Revolving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9.5</w:t>
      </w:r>
      <w:r>
        <w:rPr>
          <w:rFonts w:ascii="Times New Roman;Times;Serif" w:hAnsi="Times New Roman;Times;Serif"/>
          <w:b w:val="false"/>
          <w:i w:val="false"/>
          <w:caps w:val="false"/>
          <w:smallCaps w:val="false"/>
          <w:sz w:val="20"/>
        </w:rPr>
        <w:t xml:space="preserve"> with respect to facts and circumstances occurring prior to the effective date of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Administrative Agent, acting solely for this purpose as a non-fiduciary agent of the Borrowers, shall maintain at one of its offices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Any Lender may at any time, without the consent of, or notice to, the Lead Borrower or the Administrative Agent, sell participations to any Person (other than a natural Person, or a holding company, investment vehicle or trust for, or owned and operated for the primary benefit of, a natural Person, the Lead Borrower or any of the Lead Borrower’s Affiliates or Subsidiaries or any Disqualified Lender) (each,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in all or a portion of such Lender’s rights and/or obligations under this Agreement (including all or a portion of its Commitment and/or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such Lender’s obligations under this Agreement shall remain unchanged, (ii) such Lender shall remain solely responsible to the other parties hereto for the performance of such obligations, and (iii) the Borrowers, the Administrative Agent, the Issuing Lenders and Lenders shall continue to deal solely and directly with such Lender in connection with such Lender’s rights and obligations under this Agreement. For the avoidance of doubt, each Lender shall be responsible for the indemnity under </w:t>
      </w:r>
      <w:r>
        <w:rPr>
          <w:rFonts w:ascii="Times New Roman;Times;Serif" w:hAnsi="Times New Roman;Times;Serif"/>
          <w:b w:val="false"/>
          <w:i w:val="false"/>
          <w:caps w:val="false"/>
          <w:smallCaps w:val="false"/>
          <w:sz w:val="20"/>
          <w:u w:val="single"/>
        </w:rPr>
        <w:t>Section 9.5(c)</w:t>
      </w:r>
      <w:r>
        <w:rPr>
          <w:rFonts w:ascii="Times New Roman;Times;Serif" w:hAnsi="Times New Roman;Times;Serif"/>
          <w:b w:val="false"/>
          <w:i w:val="false"/>
          <w:caps w:val="false"/>
          <w:smallCaps w:val="false"/>
          <w:sz w:val="20"/>
        </w:rPr>
        <w:t xml:space="preserve"> with respect to any payments made by such Lender to its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w:t>
      </w:r>
      <w:r>
        <w:rPr>
          <w:rFonts w:ascii="Times New Roman;Times;Serif" w:hAnsi="Times New Roman;Times;Serif"/>
          <w:b w:val="false"/>
          <w:i w:val="false"/>
          <w:caps w:val="false"/>
          <w:smallCaps w:val="false"/>
          <w:sz w:val="20"/>
          <w:u w:val="single"/>
        </w:rPr>
        <w:t>Section 9 .1</w:t>
      </w:r>
      <w:r>
        <w:rPr>
          <w:rFonts w:ascii="Times New Roman;Times;Serif" w:hAnsi="Times New Roman;Times;Serif"/>
          <w:b w:val="false"/>
          <w:i w:val="false"/>
          <w:caps w:val="false"/>
          <w:smallCaps w:val="false"/>
          <w:sz w:val="20"/>
        </w:rPr>
        <w:t xml:space="preserve"> that affects such Participant. The Borrowers agree that each Participant shall be entitled to the benefits of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val="false"/>
          <w:i w:val="false"/>
          <w:caps w:val="false"/>
          <w:smallCaps w:val="false"/>
          <w:sz w:val="20"/>
          <w:u w:val="single"/>
        </w:rPr>
        <w:t>Section 2.16(g)</w:t>
      </w:r>
      <w:r>
        <w:rPr>
          <w:rFonts w:ascii="Times New Roman;Times;Serif" w:hAnsi="Times New Roman;Times;Serif"/>
          <w:b w:val="false"/>
          <w:i w:val="false"/>
          <w:caps w:val="false"/>
          <w:smallCaps w:val="false"/>
          <w:sz w:val="20"/>
        </w:rPr>
        <w:t xml:space="preserve"> (it being understood that the documentation required under </w:t>
      </w:r>
      <w:r>
        <w:rPr>
          <w:rFonts w:ascii="Times New Roman;Times;Serif" w:hAnsi="Times New Roman;Times;Serif"/>
          <w:b w:val="false"/>
          <w:i w:val="false"/>
          <w:caps w:val="false"/>
          <w:smallCaps w:val="false"/>
          <w:sz w:val="20"/>
          <w:u w:val="single"/>
        </w:rPr>
        <w:t>Section 2.16(g)</w:t>
      </w:r>
      <w:r>
        <w:rPr>
          <w:rFonts w:ascii="Times New Roman;Times;Serif" w:hAnsi="Times New Roman;Times;Serif"/>
          <w:b w:val="false"/>
          <w:i w:val="false"/>
          <w:caps w:val="false"/>
          <w:smallCaps w:val="false"/>
          <w:sz w:val="20"/>
        </w:rPr>
        <w:t xml:space="preserve"> shall be delivered to the participating Lender)) to the same extent as if it were a Lender and had acquired its interest by assignment pursuant to paragraph (b)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 agrees to be subject to the provisions of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as if it were an assignee under paragraph (b) of this Section; and (B) shall not be entitled to receive any greater payment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Lead Borrower’s request and expense, to use reasonable efforts to cooperate with the Borrowers to effectuate the provisions of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with respect to any Participant. To the extent permitted by law, each Participant also shall be entitled to the benefits of </w:t>
      </w:r>
      <w:r>
        <w:rPr>
          <w:rFonts w:ascii="Times New Roman;Times;Serif" w:hAnsi="Times New Roman;Times;Serif"/>
          <w:b w:val="false"/>
          <w:i w:val="false"/>
          <w:caps w:val="false"/>
          <w:smallCaps w:val="false"/>
          <w:sz w:val="20"/>
          <w:u w:val="single"/>
        </w:rPr>
        <w:t xml:space="preserve">Section 9.7 </w:t>
      </w:r>
      <w:r>
        <w:rPr>
          <w:rFonts w:ascii="Times New Roman;Times;Serif" w:hAnsi="Times New Roman;Times;Serif"/>
          <w:b w:val="false"/>
          <w:i w:val="false"/>
          <w:caps w:val="false"/>
          <w:smallCaps w:val="false"/>
          <w:sz w:val="20"/>
        </w:rPr>
        <w:t xml:space="preserve">as though it were a Lender;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such Participant agrees to be subject to </w:t>
      </w:r>
      <w:r>
        <w:rPr>
          <w:rFonts w:ascii="Times New Roman;Times;Serif" w:hAnsi="Times New Roman;Times;Serif"/>
          <w:b w:val="false"/>
          <w:i w:val="false"/>
          <w:caps w:val="false"/>
          <w:smallCaps w:val="false"/>
          <w:sz w:val="20"/>
          <w:u w:val="single"/>
        </w:rPr>
        <w:t xml:space="preserve">Section 9.7 </w:t>
      </w:r>
      <w:r>
        <w:rPr>
          <w:rFonts w:ascii="Times New Roman;Times;Serif" w:hAnsi="Times New Roman;Times;Serif"/>
          <w:b w:val="false"/>
          <w:i w:val="false"/>
          <w:caps w:val="false"/>
          <w:smallCaps w:val="false"/>
          <w:sz w:val="20"/>
        </w:rPr>
        <w:t>as though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Credit Documents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Credit Document) to any Person except to the extent that such disclosure is necessary to establish that such commitment, loan, letter of credit or other obligation is in registered form under </w:t>
      </w:r>
      <w:r>
        <w:rPr>
          <w:rFonts w:ascii="Times New Roman;Times;Serif" w:hAnsi="Times New Roman;Times;Serif"/>
          <w:b w:val="false"/>
          <w:i w:val="false"/>
          <w:caps w:val="false"/>
          <w:smallCaps w:val="false"/>
          <w:sz w:val="20"/>
          <w:u w:val="single"/>
        </w:rPr>
        <w:t>Section 5f.103-1(c)</w:t>
      </w:r>
      <w:r>
        <w:rPr>
          <w:rFonts w:ascii="Times New Roman;Times;Serif" w:hAnsi="Times New Roman;Times;Serif"/>
          <w:b w:val="false"/>
          <w:i w:val="false"/>
          <w:caps w:val="false"/>
          <w:smallCaps w:val="false"/>
          <w:sz w:val="20"/>
        </w:rPr>
        <w:t xml:space="preserve"> of the United States Treasury Regulations or </w:t>
      </w:r>
      <w:r>
        <w:rPr>
          <w:rFonts w:ascii="Times New Roman;Times;Serif" w:hAnsi="Times New Roman;Times;Serif"/>
          <w:b w:val="false"/>
          <w:i w:val="false"/>
          <w:caps w:val="false"/>
          <w:smallCaps w:val="false"/>
          <w:sz w:val="20"/>
          <w:u w:val="single"/>
        </w:rPr>
        <w:t>Section 1.163-5(b)</w:t>
      </w:r>
      <w:r>
        <w:rPr>
          <w:rFonts w:ascii="Times New Roman;Times;Serif" w:hAnsi="Times New Roman;Times;Serif"/>
          <w:b w:val="false"/>
          <w:i w:val="false"/>
          <w:caps w:val="false"/>
          <w:smallCaps w:val="false"/>
          <w:sz w:val="20"/>
        </w:rPr>
        <w:t xml:space="preserve"> of the Proposed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Disqualified Lenders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assignment or participation by a Lender without the Lead Borrower’s prior written consent (which shall not be subject to the deemed consent provisions set forth above) to a Disqualified Lender shall not be permitted;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supplement to the list of Disqualified Lenders shall have retroactive effect with respect to any Person that holds any Loans and/or Commitments or participations. The Administrative Agent may provide the list of Disqualified Lenders to any Lender that requests to see the list and may inform any potential assignee that it is included on the list of Disqualified Lenders,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be responsible or have any liability for, or have any duty to ascertain, inquire into, monitor or enforce, compliance with the provisions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to, or the restrictions on any exercise of rights or remedies of, any Disqualified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assignment or participation is made to any Disqualified Lender without the Lead Borrower’s prior written consent in violation of this clause (e), or if any Person becomes a Disqualified Lender after the date (the “</w:t>
      </w:r>
      <w:r>
        <w:rPr>
          <w:rFonts w:ascii="Times New Roman;Times;Serif" w:hAnsi="Times New Roman;Times;Serif"/>
          <w:b w:val="false"/>
          <w:i w:val="false"/>
          <w:caps w:val="false"/>
          <w:smallCaps w:val="false"/>
          <w:sz w:val="20"/>
          <w:u w:val="single"/>
        </w:rPr>
        <w:t>Trade Date</w:t>
      </w:r>
      <w:r>
        <w:rPr>
          <w:rFonts w:ascii="Times New Roman;Times;Serif" w:hAnsi="Times New Roman;Times;Serif"/>
          <w:b w:val="false"/>
          <w:i w:val="false"/>
          <w:caps w:val="false"/>
          <w:smallCaps w:val="false"/>
          <w:sz w:val="20"/>
        </w:rPr>
        <w:t xml:space="preserve">”) on which the assigning Lender enters into a binding agreement to sell and assign all or a portion of its rights and obligations under this Agreement to such Person, the Borrowers may, at their sole expense, upon notice to the applicable Disqualified Lender and the Administrative Agent, (1) in the case of outstanding Revolving Commitments or Revolving Loans held by such Disqualified Lender, terminate such Revolving Commitment and repay all obligations of the Borrowers owing to such Disqualified Lender in connection with such Revolving Commitment, (2) in the case of outstanding Term Loans held by Disqualified Lenders, purchase or prepay such Term Loans by paying the lesser of (x) the principal amount thereof and (y) the amount that such Disqualified Lender paid to acquire such Term Loans, in each case, plus accrued interest thereon, accrued fees and all other amounts (other than principal amounts) payable to it hereunder and/or (C) require such Disqualified Lender to assign, without recourse (in accordance with and subject to the restrictions contained in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all of its interests, rights and obligations under this Agreement to one or more Eligible Assignees at the lesser of (x) the principal amount thereof and (y) the amount that such Disqualified Lender paid to acquire such interests, rights and obligations under this Agreement, in each case plus accrued interest thereon, accrued fees and all other amounts (other than principal amounts) payable to it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anything to the contrary contained in this Agreement, Disqualified Lenders (A) will not, and will not have the right to, (x) receive information, reports or other materials provided to Lenders by the Lead Borrower, any Subsidiary, the Administrative Agent or any other Lender, (y) attend or participate in meetings attended by the other Lenders and the Administrative Agent, or (z) access any electronic site established for the other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other Lender to undertake any action (or refrain from taking any action) under this Agreement or any other Credit Document, the Loans and Commitments held by each such Disqualified Lender shall be deemed not to be outstanding, and (y) for purposes of voting on any plan of reorganization or similar plan, each Disqualified Lender party hereto hereby agrees (1) not to vote on such plan, (2) if such Disqualified Lender does vote on such plan notwithstanding the restriction in the foregoing clause (1), such vote will be deemed not to be in good faith and shall be “designated” pursuant to </w:t>
      </w:r>
      <w:r>
        <w:rPr>
          <w:rFonts w:ascii="Times New Roman;Times;Serif" w:hAnsi="Times New Roman;Times;Serif"/>
          <w:b w:val="false"/>
          <w:i w:val="false"/>
          <w:caps w:val="false"/>
          <w:smallCaps w:val="false"/>
          <w:sz w:val="20"/>
          <w:u w:val="single"/>
        </w:rPr>
        <w:t xml:space="preserve">Section 1126(e) </w:t>
      </w:r>
      <w:r>
        <w:rPr>
          <w:rFonts w:ascii="Times New Roman;Times;Serif" w:hAnsi="Times New Roman;Times;Serif"/>
          <w:b w:val="false"/>
          <w:i w:val="false"/>
          <w:caps w:val="false"/>
          <w:smallCaps w:val="false"/>
          <w:sz w:val="20"/>
        </w:rPr>
        <w:t xml:space="preserve">of the Bankruptcy Code (or any similar provision in any other Debtor Relief Laws), and such vote shall not be counted in determining whether the applicable class has accepted or rejected such plan in accordance with </w:t>
      </w:r>
      <w:r>
        <w:rPr>
          <w:rFonts w:ascii="Times New Roman;Times;Serif" w:hAnsi="Times New Roman;Times;Serif"/>
          <w:b w:val="false"/>
          <w:i w:val="false"/>
          <w:caps w:val="false"/>
          <w:smallCaps w:val="false"/>
          <w:sz w:val="20"/>
          <w:u w:val="single"/>
        </w:rPr>
        <w:t>Section 1126(c)</w:t>
      </w:r>
      <w:r>
        <w:rPr>
          <w:rFonts w:ascii="Times New Roman;Times;Serif" w:hAnsi="Times New Roman;Times;Serif"/>
          <w:b w:val="false"/>
          <w:i w:val="false"/>
          <w:caps w:val="false"/>
          <w:smallCaps w:val="false"/>
          <w:sz w:val="20"/>
        </w:rPr>
        <w:t xml:space="preserve"> of the Bankruptcy Code (or any similar provision in any other Debtor Relief Laws) and (3) not to contest any request by any party for a determination by the applicable bankruptcy court (or other applicable court of competent jurisdiction) effectuating the foregoing clause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Certain Pledges</w:t>
      </w:r>
      <w:r>
        <w:rPr>
          <w:rFonts w:ascii="Times New Roman;Times;Serif" w:hAnsi="Times New Roman;Times;Serif"/>
          <w:b w:val="false"/>
          <w:i w:val="false"/>
          <w:caps w:val="false"/>
          <w:smallCaps w:val="false"/>
          <w:sz w:val="20"/>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9.7</w:t>
        <w:tab/>
      </w:r>
      <w:r>
        <w:rPr>
          <w:rFonts w:ascii="Times New Roman;Times;Serif" w:hAnsi="Times New Roman;Times;Serif"/>
          <w:b/>
          <w:i w:val="false"/>
          <w:caps w:val="false"/>
          <w:smallCaps w:val="false"/>
          <w:sz w:val="20"/>
        </w:rPr>
        <w:t>Right of Set-off; Sharing of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an Event of Default shall have occurred and be continuing, each Lender, each Issuing Lender, each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Lender, such Swingline Lender or any such Affiliate, to or for the credit or the account of any Credit Party against any and all of the obligations of the Borrowers now or hereafter existing under this Agreement or any other Credit Document to such Lender, Swingline Lender or Issuing Lender, irrespective of whether or not such Lender, Swingline Lender or Issuing Lender shall have made any demand under this Agreement or any other Credit Document and although such obligations of such Credit Party may be contingent or unmatured or are owed to a branch, office or affiliate of such Lender, Swingline Lender or Issuing Lender different from the branch, office or Affiliate holding such deposit or obligated on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(i) all amounts so set off shall be paid over immediately to the Administrative Agent for further application in accordance with the provisions of </w:t>
      </w:r>
      <w:r>
        <w:rPr>
          <w:rFonts w:ascii="Times New Roman;Times;Serif" w:hAnsi="Times New Roman;Times;Serif"/>
          <w:b w:val="false"/>
          <w:i w:val="false"/>
          <w:caps w:val="false"/>
          <w:smallCaps w:val="false"/>
          <w:sz w:val="20"/>
          <w:u w:val="single"/>
        </w:rPr>
        <w:t xml:space="preserve">Section 2.21 </w:t>
      </w:r>
      <w:r>
        <w:rPr>
          <w:rFonts w:ascii="Times New Roman;Times;Serif" w:hAnsi="Times New Roman;Times;Serif"/>
          <w:b w:val="false"/>
          <w:i w:val="false"/>
          <w:caps w:val="false"/>
          <w:smallCaps w:val="false"/>
          <w:sz w:val="20"/>
        </w:rPr>
        <w:t>and, pending such payment, shall be segregated by such Defaulting Lender from its other funds and deemed held in trust for the benefit of the Administrative Agent, the Issuing Lender, the Swingline Lender and the other Lenders, and (ii) the Defaulting Lender shall provide promptly to the Administrative Agent a statement describing in reasonable detail the Credit Party Obligations owing to such Defaulting Lender as to which it exercised such right of setoff. The rights of each Lender, Swingline Lender, Issuing Lender and their respective Affiliates under this Section are in addition to other rights and remedies (including other rights of setoff) that such Lender, Swingline Lender, Issuing Lender or their respective Affiliates may have. Each Lender, Swingline Lender and Issuing Lender agrees to notify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Lead Borrower and the Administrative Agent promptly after any such setoff and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Lender shall, by exercising any right of setoff or counterclaim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the Lender receiving such greater proportion shall (i) notify the Administrative Agent of such fact, and (ii)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this paragraph shall not be construed to apply to (x) any payment made by a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or participations in Letters of Credit to any assignee or participant, other than to a Borrower or any Affiliate thereof (as to which the provisions of this paragraph shall apply).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Credit Party consents to the foregoing and agrees, to the extent it may effectively do so under applicable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9.8</w:t>
        <w:tab/>
      </w:r>
      <w:r>
        <w:rPr>
          <w:rFonts w:ascii="Times New Roman;Times;Serif" w:hAnsi="Times New Roman;Times;Serif"/>
          <w:b/>
          <w:i w:val="false"/>
          <w:caps w:val="false"/>
          <w:smallCaps w:val="false"/>
          <w:sz w:val="20"/>
        </w:rPr>
        <w:t>Table of Contents and Section Headings.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Section and subsection headings herein are intended for convenience only and shall be ignored in construing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9.9</w:t>
        <w:tab/>
      </w:r>
      <w:r>
        <w:rPr>
          <w:rFonts w:ascii="Times New Roman;Times;Serif" w:hAnsi="Times New Roman;Times;Serif"/>
          <w:b/>
          <w:i w:val="false"/>
          <w:caps w:val="false"/>
          <w:smallCaps w:val="false"/>
          <w:sz w:val="20"/>
        </w:rPr>
        <w:t>Counterparts; Integration; Effectiveness; Electronic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Counterparts; Integration; Effectiveness</w:t>
      </w:r>
      <w:r>
        <w:rPr>
          <w:rFonts w:ascii="Times New Roman;Times;Serif" w:hAnsi="Times New Roman;Times;Serif"/>
          <w:b w:val="false"/>
          <w:i w:val="false"/>
          <w:caps w:val="false"/>
          <w:smallCaps w:val="false"/>
          <w:sz w:val="20"/>
        </w:rPr>
        <w:t xml:space="preserve">. This Agreement may be executed in counterparts (and by different parties hereto in different counterparts), each of which shall constitute an original, but all of which when taken together shall constitute a single contract. This Agreement and the other Credit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Electronic Execution of Assignments</w:t>
      </w:r>
      <w:r>
        <w:rPr>
          <w:rFonts w:ascii="Times New Roman;Times;Serif" w:hAnsi="Times New Roman;Times;Serif"/>
          <w:b w:val="false"/>
          <w:i w:val="false"/>
          <w:caps w:val="false"/>
          <w:smallCaps w:val="false"/>
          <w:sz w:val="20"/>
        </w:rPr>
        <w:t xml:space="preserve">. Delivery of an executed counterpart of a signature page of (x) this Agreement, (y) any other Credit Document and/or (z) any document, amendment, approval,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information, notice, certificate, request, statement, disclosure or authorization related to this Agreement, any other Credit Document and/or the transactions contemplated hereby and/or thereby (each an “</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xml:space="preserve">”) that is an Electronic Signature transmitted by facsimile,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require the Administrative Agent to accept Electronic Signatures in any form or format without its prior written consent and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Credit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other Credit Party hereby (A) agrees that, for all purposes, including without limitation, in connection with any workout, restructuring, enforcement of remedies, bankruptcy proceedings or litigation among the Administrative Agent, the Lenders, the Issuing Lenders, the Borrowers and the other Credit Parties, Electronic Signatures transmitted by facsimile, emailed pdf. or any other electronic means that reproduces an image of an actual executed signature page and/or any electronic images of this Agreement, any other Credit Document and/or any Ancillary Document shall have the same legal effect, validity and enforceability as any paper original, (B) the Administrative Agent and each of the Lenders and Issuing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(D) waives any claim against the Administrative Agent and any Lender, Issuing Lender or any of their Related Parties for any liabilities arising solely from the Administrative Agent’s and/or any Lender’s or Issuing Lender’s reliance on or use of Electronic Signatures and/or transmissions by facsimile, emailed pdf. or any other electronic means that reproduces an image of an actual executed signature page, including any liabilities arising as a result of the failure of any Borrower and/or any other Credit Party to use any available security measures in connection with the execution, delivery or transmission of any Electronic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9.10</w:t>
        <w:tab/>
      </w:r>
      <w:r>
        <w:rPr>
          <w:rFonts w:ascii="Times New Roman;Times;Serif" w:hAnsi="Times New Roman;Times;Serif"/>
          <w:b/>
          <w:i w:val="false"/>
          <w:caps w:val="false"/>
          <w:smallCaps w:val="false"/>
          <w:sz w:val="20"/>
        </w:rPr>
        <w:t>Severability.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9.11</w:t>
        <w:tab/>
      </w:r>
      <w:r>
        <w:rPr>
          <w:rFonts w:ascii="Times New Roman;Times;Serif" w:hAnsi="Times New Roman;Times;Serif"/>
          <w:b/>
          <w:i w:val="false"/>
          <w:caps w:val="false"/>
          <w:smallCaps w:val="false"/>
          <w:sz w:val="20"/>
        </w:rPr>
        <w:t>Integration.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other Credit Documents represent the agreement of the Borrowers, the other Credit Parties, the Administrative Agent and the Lenders with respect to the subject matter hereof, and there are no promises, undertakings, representations or warranties by the Administrative Agent, the Borrowers, the other Credit Parties, or any Lender relative to the subject matter hereof not expressly set forth or referred to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9.12</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9.13</w:t>
        <w:tab/>
      </w:r>
      <w:r>
        <w:rPr>
          <w:rFonts w:ascii="Times New Roman;Times;Serif" w:hAnsi="Times New Roman;Times;Serif"/>
          <w:b/>
          <w:i w:val="false"/>
          <w:caps w:val="false"/>
          <w:smallCaps w:val="false"/>
          <w:sz w:val="20"/>
        </w:rPr>
        <w:t>Governing Law; Consent to Jurisdiction; Service of Process and 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the other Credit Documents and any claims, controversy, dispute or cause of action (whether in contract or tort or otherwise) based upon, arising out of or relating to this Agreement or any other Credit Document (except, as to any other Credit Document, as expressly set forth therein) and the transactions contemplated hereby and thereby shall be governed by, and construed in accordance with, the law of the State of New York; PROVIDED, HOWEVER, THAT (A) THE INTERPRETATION OF THE DEFINITION OF “COMPANY MATERIAL ADVERSE EFFECT” (AND WHETHER OR NOT A COMPANY MATERIAL ADVERSE EFFECT HAS OCCURRED), (B) THE DETERMINATION OF THE ACCURACY OF ANY SPECIFIED ACQUISITION AGREEMENT REPRESENTATION AND WHETHER AS A RESULT OF ANY INACCURACY THEREOF THE LEAD BORROWER AND ANY OF ITS AFFILIATES HAVE THE RIGHT TO TERMINATE THE LEAD BORROWER’S AND SUCH AFFILIATE’S OBLIGATIONS THEREUNDER, (C) THE DETERMINATION OF WHETHER THE ACQUISITION HAS BEEN CONSUMMATED IN ACCORDANCE WITH THE TERMS OF THE ACQUISITION AGREEMENT AND (D) ALL ISSUES, CLAIMS AND DISPUTES CONCERNING THE CONSTRUCTION, VALIDITY, INTERPRETATION AND ENFORCEABILITY OF THE ACQUISITION AGREEMENT SHALL, IN EACH CASE, BE GOVERNED BY, AND CONSTRUED IN ACCORDANCE WITH, THE GOVERNING LAW OF THE ACQUISITION AGREEMENT AS IN EFFECT ON JUNE 21,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Each Borrower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or any Related Party of the foregoing in any way relating to this Agreement or any other Credit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the Administrative Agent, any Lender or any Issuing Lender may otherwise have to bring any action or proceeding relating to this Agreement or any other Credit Document against any Borrower or any other Credit Party or its properties in the courts of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Service of Process</w:t>
      </w:r>
      <w:r>
        <w:rPr>
          <w:rFonts w:ascii="Times New Roman;Times;Serif" w:hAnsi="Times New Roman;Times;Serif"/>
          <w:b w:val="false"/>
          <w:i w:val="false"/>
          <w:caps w:val="false"/>
          <w:smallCaps w:val="false"/>
          <w:sz w:val="20"/>
        </w:rPr>
        <w:t xml:space="preserve">. Each party hereto irrevocably consents to service of process in the manner provided for notices in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Waiver of Venue</w:t>
      </w:r>
      <w:r>
        <w:rPr>
          <w:rFonts w:ascii="Times New Roman;Times;Serif" w:hAnsi="Times New Roman;Times;Serif"/>
          <w:b w:val="false"/>
          <w:i w:val="false"/>
          <w:caps w:val="false"/>
          <w:smallCaps w:val="false"/>
          <w:sz w:val="20"/>
        </w:rPr>
        <w:t>. Each Borrower and each other Credit Party irrevocably and unconditionally waives, to the fullest extent permitted by applicable law, any objection that it may now or hereafter have to the laying of venue of any action or proceeding arising out of or relating to this Agreement or any other Credit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9.14</w:t>
        <w:tab/>
      </w:r>
      <w:r>
        <w:rPr>
          <w:rFonts w:ascii="Times New Roman;Times;Serif" w:hAnsi="Times New Roman;Times;Serif"/>
          <w:b/>
          <w:i w:val="false"/>
          <w:caps w:val="false"/>
          <w:smallCaps w:val="false"/>
          <w:sz w:val="20"/>
        </w:rPr>
        <w:t>Treatment of Certain Information;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Administrative Agent, the Lenders and the Issuing Lenders agree to maintain the confidentiality of the Information (as defined below), except that Information may be disclosed (a) to its Affiliates and to its Related Parties with a reasonable need to know such information in connection with the Transactions and who are informed of the confidential nature of such information and have been advised of their obligation to keep information of this type confidential (it being understood that the Persons to whom such disclosure is made will be informed of the confidential nature of such Information and instructed to keep such Information confidential),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applicable Lender, Issuing Lender or Administrative Agent, shall be responsible for its Affiliates’ and its and their respective Related Parties’ compliance with this paragraph; (b) to the extent required or requested by any regulatory authority purporting to have jurisdiction over such Person or its Related Parties (including any self-regulatory authority, such as the National Association of Insurance Commissioners), in which case the Administrative Agent, the Lenders and the Issuing Lenders agree (except with respect to any audit or examination conducted by bank accountants or any regulatory or self-regulatory authority exercising examination or regulatory authority), to the extent practicable and not prohibited by applicable law, to inform the Lead Borrower promptly thereof prior to such disclosure and to reasonably cooperate with the Lead Borrower, at the Borrowers’ expense, in seeking a protective order or other appropriate remedy; (c) to the extent required by applicable laws or regulations or by any subpoena or similar legal process based on the reasonable advice of counsel, in which case the Administrative Agent, the Lenders and the Issuing Lenders agree (except with respect to any audit or examination conducted by bank accountants or any regulatory or self-regulatory authority exercising examination or regulatory authority), to the extent practicable and not prohibited by applicable law, to inform the Lead Borrower promptly thereof prior to such disclosure and to reasonably cooperate with the Lead Borrower, at the Borrowers’ expense, in seeking a protective order or other appropriate remedy; (d) to any other party hereto; (e) in connection with the exercise of any remedies hereunder or under any other Credit Document or any action or proceeding relating to this Agreement or any other Credit Document or the enforcement of rights hereunder or thereunder; (f) subject to being bound by the terms of this Section or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any Borrower and its obligations, this Agreement or payments hereunder; (g) on a confidential basis to (i) S&amp;P and Moody’s in connection with obtaining any ratings in respect of the Borrowers and the Loans and to any rating agency in connection with obtaining shadow ratings required by any financing source or (ii) the CUSIP Service Bureau or any similar agency in connection with the issuance and monitoring of CUSIP numbers with respect to the Loans, in each case, subject to such Person being bound by the terms of this Section or to an agreement containing provisions substantially the same as those of this Section; (h) with the written consent of the Lead Borrower; or (i) to the extent such Information (x) becomes publicly available other than as a result of a breach of this Section, or (y) becomes available to the Administrative Agent, any Lender, any Issuing Lender or any of their respective Affiliates on a nonconfidential basis from a source other than the Borrowers.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Credit Documents, and the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shall mean all information received from the Lead Borrower or any of its Restricted Subsidiaries relating to the Lead Borrower, any of its Restricted Subsidiaries, the Company or any of its subsidiaries or any of their respective businesses, other than any such information that is available to the Administrative Agent, any Lender, the Swingline Lender or the Issuing Lender on a nonconfidential basis prior to disclosure by the Lead Borrower or any of its 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Information received from the Lead Borrower or any of its Restricted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9.15</w:t>
        <w:tab/>
      </w:r>
      <w:r>
        <w:rPr>
          <w:rFonts w:ascii="Times New Roman;Times;Serif" w:hAnsi="Times New Roman;Times;Serif"/>
          <w:b/>
          <w:i w:val="false"/>
          <w:caps w:val="false"/>
          <w:smallCaps w:val="false"/>
          <w:sz w:val="20"/>
        </w:rPr>
        <w:t>Acknowledgments.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Borrower and the other Credit Parties each hereby acknowledges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been advised by counsel in the negotiation, execution and delivery of each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Administrative Agent, nor any Arranger, Documentation Agent, Syndication Agent or Lender has any fiduciary relationship with or duty to any Borrower or any other Credit Party arising out of or in connection with this Agreement and the relationship between the Administrative Agent, Arrangers, Documentation Agents, Syndication Agents and the Lenders, on one hand, and any Borrower and the other Credit Parties, on the other hand, in connection herewith is solely that of creditor and debtor;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joint venture exists among the Lenders, Arrangers, Documentation Agents, Syndication Agents and the Administrative Agent, on the one hand, and the Credit Parties,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9.16</w:t>
        <w:tab/>
      </w:r>
      <w:r>
        <w:rPr>
          <w:rFonts w:ascii="Times New Roman;Times;Serif" w:hAnsi="Times New Roman;Times;Serif"/>
          <w:b/>
          <w:i w:val="false"/>
          <w:caps w:val="false"/>
          <w:smallCaps w:val="false"/>
          <w:sz w:val="20"/>
        </w:rPr>
        <w:t>Waivers of Jury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HEREBY IRREVOCABLY WAIVES, TO THE FULLEST EXTENT PERMITTED 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CREDIT DOCUMENTS BY, AMONG OTHER THINGS, THE MUTUAL WAIVERS AND CERTIFICATIONS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9.17</w:t>
        <w:tab/>
      </w:r>
      <w:r>
        <w:rPr>
          <w:rFonts w:ascii="Times New Roman;Times;Serif" w:hAnsi="Times New Roman;Times;Serif"/>
          <w:b/>
          <w:i w:val="false"/>
          <w:caps w:val="false"/>
          <w:smallCaps w:val="false"/>
          <w:sz w:val="20"/>
        </w:rPr>
        <w:t>Patriot Act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and the Administrative Agent (for itself and not on behalf of any Lender) hereby notifies the Borrowers that pursuant to the requirements of the Patriot Act, it is required to obtain, verify and record information that identifies each Credit Party, which information includes the name and address of each Credit Party and other information that will allow such Lender or the Administrative Agent, as applicable, to identify each Credit Party in accordance with the Patriot Act. In addition, each Lender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(for itself and not on behalf of any Lender) hereby notifies the Borrowers that pursuant to the requirements of the Beneficial Ownership Regulation, it may be required to obtain a Beneficial Ownership Certification. This notice is given in accordance with the requirements of the Patriot Act and the Beneficial Ownership Regulation and is effective for each Lender and the Administrative Agent. Each Credit Party hereby agrees that the Administrative Agent shall be permitted to share all such information delivered by such Credit Party pursuant to this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 xml:space="preserve"> with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9.18</w:t>
        <w:tab/>
      </w:r>
      <w:r>
        <w:rPr>
          <w:rFonts w:ascii="Times New Roman;Times;Serif" w:hAnsi="Times New Roman;Times;Serif"/>
          <w:b/>
          <w:i w:val="false"/>
          <w:caps w:val="false"/>
          <w:smallCaps w:val="false"/>
          <w:sz w:val="20"/>
        </w:rPr>
        <w:t>Resolution of Drafting Ambiguities.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Credit Party acknowledges and agrees that it was represented by counsel in connection with the execution and delivery of this Agreement and the other Credit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9.19</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9.20</w:t>
        <w:tab/>
      </w:r>
      <w:r>
        <w:rPr>
          <w:rFonts w:ascii="Times New Roman;Times;Serif" w:hAnsi="Times New Roman;Times;Serif"/>
          <w:b/>
          <w:i w:val="false"/>
          <w:caps w:val="false"/>
          <w:smallCaps w:val="false"/>
          <w:sz w:val="20"/>
        </w:rPr>
        <w:t>Continuing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a continuing agreement and shall remain in full force and effect until all Credit Party Obligations (other than those obligations that expressly survive the termination of this Agreement) have been paid in full (other than contingent indemnification obligations for which no claim has been made) and all Commitments and Letters of Credit have been terminated. Upon termination, the Credit Parties shall have no further obligations (other than those obligations that expressly survive the termination of this Agreement) under the Credit Documents and the Administrative Agent shall, at the request and expense of the Borrowers, deliver all the Collateral in its possession to the Borrowers and release all Liens on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9.21</w:t>
        <w:tab/>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9.22</w:t>
        <w:tab/>
      </w:r>
      <w:r>
        <w:rPr>
          <w:rFonts w:ascii="Times New Roman;Times;Serif" w:hAnsi="Times New Roman;Times;Serif"/>
          <w:b/>
          <w:i w:val="false"/>
          <w:caps w:val="false"/>
          <w:smallCaps w:val="false"/>
          <w:sz w:val="20"/>
        </w:rPr>
        <w:t>Appointment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Borrowers (other than the Lead Borrower) and the Guarantors hereby appoints the Lead Borrower to act as its agent for all purposes under this Agreement and agrees that (a) the Lead Borrower may execute such documents on behalf of such Borrower or Guarantor as the Lead Borrower deems appropriate in its sole discretion and each other Borrower and Guarantor shall be obligated by all of the terms of any such document executed on its behalf, (b) any notice or communication delivered by the Administrative Agent or the Lender to the Lead Borrower shall be deemed delivered to each other Borrower or Guarantor and (c) the Administrative Agent or the Lenders may accept, and be permitted to rely on, any document, instrument or agreement executed by the Lead Borrower on behalf of each other Borrower or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9.23</w:t>
        <w:tab/>
      </w:r>
      <w:r>
        <w:rPr>
          <w:rFonts w:ascii="Times New Roman;Times;Serif" w:hAnsi="Times New Roman;Times;Serif"/>
          <w:b/>
          <w:i w:val="false"/>
          <w:caps w:val="false"/>
          <w:smallCaps w:val="false"/>
          <w:sz w:val="20"/>
        </w:rPr>
        <w:t>No Advisory or Fiduciary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all aspects of each Transaction, each of the Credit Parties acknowledges and agrees, and acknowledges its Affiliates’ understanding, that: (a) the credit facility provided for hereunder and any related arranging or other services in connection therewith (including in connection with any amendment, waiver or other modification hereof or of any other Credit Document) are an arm’s-length commercial transaction between the Credit Parties and their Affiliates, on the one hand, and the Administrative Agent, Arrangers, Documentation Agents, Syndication Agents and Lenders (the “</w:t>
      </w:r>
      <w:r>
        <w:rPr>
          <w:rFonts w:ascii="Times New Roman;Times;Serif" w:hAnsi="Times New Roman;Times;Serif"/>
          <w:b w:val="false"/>
          <w:i w:val="false"/>
          <w:caps w:val="false"/>
          <w:smallCaps w:val="false"/>
          <w:sz w:val="20"/>
          <w:u w:val="single"/>
        </w:rPr>
        <w:t>Covered Parties</w:t>
      </w:r>
      <w:r>
        <w:rPr>
          <w:rFonts w:ascii="Times New Roman;Times;Serif" w:hAnsi="Times New Roman;Times;Serif"/>
          <w:b w:val="false"/>
          <w:i w:val="false"/>
          <w:caps w:val="false"/>
          <w:smallCaps w:val="false"/>
          <w:sz w:val="20"/>
        </w:rPr>
        <w:t>”) on the other hand, and the Credit Parties are capable of evaluating and understanding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understands and accepts the terms, risks and conditions of the Transactions and by the other Credit Documents (including any amendment, waiver or other modification hereof or thereof); (b) in connection with the process leading to such transaction, the Covered Parties are and have been acting solely as a principal and is not the financial advisor, agent or fiduciary, for any Credit Party or any of their Affiliates, stockholders, creditors or employees or any other Person; (c) the Covered Parties have not assumed or will assume an advisory, agency or fiduciary responsibility in favor of any Credit Party with respect to any of the Transactions or the process leading thereto, including with respect to any amendment, waiver or other modification hereof or of any other Credit Document (irrespective of whether any of the Covered Parties have advised or are currently advising any Credit Party or any of its Affiliates on other matters) and the Covered Parties do not have any obligation to any Credit Party or any of their Affiliates with respect to the Transactions except those obligations expressly set forth herein and in the other Credit Documents; (d) the Covered Parties and their respective Affiliates may be engaged in a broad range of transactions that involve interests that differ from those of the Credit Parties and their Affiliates, and each of the Covered Parties has no obligation to disclose any of such interests by virtue of any advisory, agency or fiduciary relationship; and (e) each of the Covered Parties has not provided and will not provide any legal, accounting, regulatory or tax advice with respect to any of the Transactions (including any amendment, waiver or other modification hereof or of any other Credit Document) and the Credit Parties have consulted their own legal, accounting, regulatory and tax advisors to the extent it has deemed appropriate. Each of the Credit Parties hereby waives and releases, to the fullest extent permitted by law, any claims that it may have against each of the Covered Parties with respect to any breach or alleged breach of agency or fiduciary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9.24</w:t>
        <w:tab/>
      </w:r>
      <w:r>
        <w:rPr>
          <w:rFonts w:ascii="Times New Roman;Times;Serif" w:hAnsi="Times New Roman;Times;Serif"/>
          <w:b/>
          <w:i w:val="false"/>
          <w:caps w:val="false"/>
          <w:smallCaps w:val="false"/>
          <w:sz w:val="20"/>
        </w:rPr>
        <w:t>Responsible Officers and Authorized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and each of the Lenders are authorized to rely upon the continuing authority of the Responsible Officers and the Authorized Officers with respect to all matters pertaining to the Credit Documents including, but not limited to, the selection of interest rates, the submission of requests for Extensions of Credit and certificates with regard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9.25</w:t>
        <w:tab/>
      </w:r>
      <w:r>
        <w:rPr>
          <w:rFonts w:ascii="Times New Roman;Times;Serif" w:hAnsi="Times New Roman;Times;Serif"/>
          <w:b/>
          <w:i w:val="false"/>
          <w:caps w:val="false"/>
          <w:smallCaps w:val="false"/>
          <w:sz w:val="20"/>
        </w:rPr>
        <w:t>Acknowledgement and Consent to Bail-In of Affected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9.26</w:t>
        <w:tab/>
      </w:r>
      <w:r>
        <w:rPr>
          <w:rFonts w:ascii="Times New Roman;Times;Serif" w:hAnsi="Times New Roman;Times;Serif"/>
          <w:b/>
          <w:i w:val="false"/>
          <w:caps w:val="false"/>
          <w:smallCaps w:val="false"/>
          <w:sz w:val="20"/>
        </w:rPr>
        <w:t>Certain ERISA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Borrowers or any other Credit Party, that at least one of the following is and will be true: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Letters of Credit, the Commitments or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not, for the avoidance of doubt, to or for the benefit of the Borrowers, that the Administrative Agent is not a fiduciary with respect to the assets of such Lender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other Credit Document or any documents related hereto 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9.27</w:t>
        <w:tab/>
      </w:r>
      <w:r>
        <w:rPr>
          <w:rFonts w:ascii="Times New Roman;Times;Serif" w:hAnsi="Times New Roman;Times;Serif"/>
          <w:b/>
          <w:i w:val="false"/>
          <w:caps w:val="false"/>
          <w:smallCaps w:val="false"/>
          <w:sz w:val="20"/>
          <w:u w:val="single"/>
        </w:rPr>
        <w:t>Acknowledgement Regarding Any Supported QFCs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Credit Documents provide support, through a guarantee or otherwise, for Hedging Agreements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9.28</w:t>
        <w:tab/>
      </w:r>
      <w:r>
        <w:rPr>
          <w:rFonts w:ascii="Times New Roman;Times;Serif" w:hAnsi="Times New Roman;Times;Serif"/>
          <w:b/>
          <w:i w:val="false"/>
          <w:caps w:val="false"/>
          <w:smallCaps w:val="false"/>
          <w:sz w:val="20"/>
          <w:u w:val="single"/>
        </w:rPr>
        <w:t>Interest Rate Limitation</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if at any time the interest rate applicable to any Loan, together with all fees, charges and other amounts which may be treated as interest on such Loan under applicable law (collectively, the “</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xml:space="preserve"> ”), shall exceed the maximum lawful rate of interest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which may be contracted for, charged, taken, received or reserved by a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(to the extent permitted by applicable law), shall have been received by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Article X</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GUARANTY</w:t>
      </w:r>
    </w:p>
    <w:p>
      <w:pPr>
        <w:pStyle w:val="TextBody"/>
        <w:bidi w:val="0"/>
        <w:spacing w:before="0" w:after="0"/>
        <w:ind w:left="40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10.1</w:t>
        <w:tab/>
      </w:r>
      <w:r>
        <w:rPr>
          <w:rFonts w:ascii="Times New Roman;Times;Serif" w:hAnsi="Times New Roman;Times;Serif"/>
          <w:b/>
          <w:i w:val="false"/>
          <w:caps w:val="false"/>
          <w:smallCaps w:val="false"/>
          <w:sz w:val="20"/>
        </w:rPr>
        <w:t>The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induce the Lenders to enter into this Agreement and any Bank Product Provider to enter into any Bank Product and to extend credit hereunder and thereunder and in recognition of the direct benefits to be received by the Guarantors from the Extensions of Credit hereunder and any Bank Product, each of the Guarantors hereby agrees with the Administrative Agent, the Lenders and the Bank Product Provider as follows: each Guarantor hereby unconditionally and irrevocably jointly and severally guarantees as primary obligor and not merely as surety the full and prompt payment when due, whether upon maturity, by acceleration or otherwise, of any and all Credit Party Obligations. If any or all of the indebtedness becomes due and payable hereunder or under any Bank Product, each Guarantor unconditionally promises to pay such indebtedness to the Administrative Agent, the Lenders, the Bank Product Providers, or their respective order, on demand, together with any and all reasonable and documented out-of-pocket expenses which may be incurred by the Administrative Agent or the Lenders in collecting any of the Credit Party Obligations. The Guaranty set forth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is a guaranty of timely payment and not of collection. The word “indebtedness” is used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in its most comprehensive sense and includes any and all advances, debts, obligations and liabilities of the Borrowers, including specifically all Credit Party Obligations, arising in connection with this Agreement, the other Credit Documents or any Bank Product, in each case, heretofore, now, or hereafter made, incurred or created, whether voluntarily or involuntarily, absolute or contingent, liquidated or unliquidated, determined or undetermined, whether or not such indebtedness is from time to time reduced, or extinguished and thereafter increased or incurred, whether any Borrower may be liable individually or jointly with others, whether or not recovery upon such indebtedness may be or hereafter become barred by any statute of limitations, and whether or not such indebtedness may be or hereafter become otherwise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to the contrary contained herein or in any other of the Credit Documents, to the extent the obligations of a Guarantor shall be adjudicated to be invalid or unenforceable for any reason (including, without limitation, because of any applicable state or federal law relating to fraudulent conveyances or transfers) then the obligations of each such Guarantor hereunder shall be limited to the maximum amount that is permissible under applicable law (whether federal or state and including, without limitation, the Bankruptcy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10.2</w:t>
        <w:tab/>
      </w:r>
      <w:r>
        <w:rPr>
          <w:rFonts w:ascii="Times New Roman;Times;Serif" w:hAnsi="Times New Roman;Times;Serif"/>
          <w:b/>
          <w:i w:val="false"/>
          <w:caps w:val="false"/>
          <w:smallCaps w:val="false"/>
          <w:sz w:val="20"/>
        </w:rPr>
        <w:t>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each of the Guarantors unconditionally and irrevocably guarantees jointly and severally the payment of any and all Credit Party Obligations of the Borrowers to the Lenders and any Bank Product Provider whether or not due or payable by the Borrowers upon the occurrence of any Bankruptcy Event and unconditionally promises to pay such Credit Party Obligations to the Administrative Agent for the account of the Lenders and to any such Bank Product Provider, or order, on demand, in lawful money of the United States. Each of the Guarantors further agrees that to the extent that a Borrower or a Guarantor shall make a payment or a transfer of an interest in any property to the Administrative Agent, any Lender or any Bank Product Provider, which payment or transfer or any part thereof is subsequently invalidated, declared to be fraudulent or preferential, or otherwise is avoided, and/or required to be repaid to a Borrower or a Guarantor, the estate of a Borrower or a Guarantor, a trustee, receiver or any other party under any bankruptcy law, state or federal law, common law or equitable cause, then to the extent of such avoidance or repayment, the obligation or part thereof intended to be satisfied shall be revived and continued in full force and effect as if said payment had not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10.3</w:t>
        <w:tab/>
      </w:r>
      <w:r>
        <w:rPr>
          <w:rFonts w:ascii="Times New Roman;Times;Serif" w:hAnsi="Times New Roman;Times;Serif"/>
          <w:b/>
          <w:i w:val="false"/>
          <w:caps w:val="false"/>
          <w:smallCaps w:val="false"/>
          <w:sz w:val="20"/>
        </w:rPr>
        <w:t>Nature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each Guarantor hereunder is exclusive and independent of any security for or other guaranty of the Credit Party Obligations of the Borrowers whether executed by any such Guarantor, any other guarantor or by any other party, and no Guarantor’s liability hereunder shall be affected or impaired by (a) any direction as to application of payment by a Borrower or by any other party, or (b) any other continuing or other guaranty, undertaking or maximum liability of a guarantor or of any other party as to the Credit Party Obligations of the Borrowers, or (c) any payment on or in reduction of any such other guaranty or undertaking, or (d) any dissolution, termination or increase, decrease or change in personnel by a Borrower, or (e) any payment made to the Administrative Agent, the Lenders or any Bank Product Provider on the Credit Party Obligations which the Administrative Agent, such Lenders or such Bank Product Provider receive pursuant to court order in any bankruptcy, reorganization, arrangement, moratorium or other debtor relief proceeding, and each of the Guarantors waives any right to the deferral or modification of its obligations hereunder by reason of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10.4</w:t>
        <w:tab/>
      </w:r>
      <w:r>
        <w:rPr>
          <w:rFonts w:ascii="Times New Roman;Times;Serif" w:hAnsi="Times New Roman;Times;Serif"/>
          <w:b/>
          <w:i w:val="false"/>
          <w:caps w:val="false"/>
          <w:smallCaps w:val="false"/>
          <w:sz w:val="20"/>
        </w:rPr>
        <w:t>Independent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Guarantor hereunder are independent of the obligations of any other Guarantor or Borrower, and a separate action or actions may be brought and prosecuted against each Guarantor whether or not action is brought against any other Guarantor or Borrower and whether or not any other Guarantor or Borrower is joined in any such action or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10.5</w:t>
        <w:tab/>
      </w:r>
      <w:r>
        <w:rPr>
          <w:rFonts w:ascii="Times New Roman;Times;Serif" w:hAnsi="Times New Roman;Times;Serif"/>
          <w:b/>
          <w:i w:val="false"/>
          <w:caps w:val="false"/>
          <w:smallCaps w:val="false"/>
          <w:sz w:val="20"/>
        </w:rPr>
        <w:t>Authorization.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Guarantors authorizes the Administrative Agent, each Lender and each Bank Product Provider without notice or demand (except as shall be required by applicable statute and cannot be waived), and without affecting or impairing its liability hereunder, from time to time to (a) renew, compromise, extend, increase, accelerate or otherwise change the time for payment of, or otherwise change the terms of the Credit Party Obligations or any part thereof in accordance with this Agreement and any Bank Product, as applicable, including any increase or decrease of the rate of interest thereon, (b) take and hold security from any Guarantor or any other party for the payment of this Guaranty or the Credit Party Obligations and exchange, enforce waive and release any such security, (c) apply such security and direct the order or manner of sale thereof as the Administrative Agent and the Lenders in their discretion may determine, (d) release or substitute any one or more endorsers, Guarantors, the Borrowers or other obligors and (e) to the extent otherwise permitted herein, release or substitute any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10.6</w:t>
        <w:tab/>
      </w:r>
      <w:r>
        <w:rPr>
          <w:rFonts w:ascii="Times New Roman;Times;Serif" w:hAnsi="Times New Roman;Times;Serif"/>
          <w:b/>
          <w:i w:val="false"/>
          <w:caps w:val="false"/>
          <w:smallCaps w:val="false"/>
          <w:sz w:val="20"/>
        </w:rPr>
        <w:t>Reliance.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necessary for the Administrative Agent, the Lenders or any Bank Product Provider to inquire into the capacity or powers of the Borrowers or the officers, directors, members, partners or agents acting or purporting to act on its behalf, and any Credit Party Obligations made or created in reliance upon the professed exercise of such powers shall be guaranteed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10.7</w:t>
        <w:tab/>
      </w:r>
      <w:r>
        <w:rPr>
          <w:rFonts w:ascii="Times New Roman;Times;Serif" w:hAnsi="Times New Roman;Times;Serif"/>
          <w:b/>
          <w:i w:val="false"/>
          <w:caps w:val="false"/>
          <w:smallCaps w:val="false"/>
          <w:sz w:val="20"/>
        </w:rPr>
        <w:t>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Guarantors waives any right (except as shall be required by applicable statute and cannot be waived) to require the Administrative Agent, any Lender or any Bank Product Provider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proceed against any Borrower, any other guarantor or any other party, (ii) proceed against or exhaust any security held from any Borrower, any other guarantor or any other party, or (iii) pursue any other remedy in the Administrative Agent’s, any Lender’s or any Bank Product Provider’s whatsoever. Each of the Guarantors waives any defense based on or arising out of any defense of any Borrower, any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 or any other party other than payment in full of the Credit Party Obligations (other than contingent indemnification obligations for which no claim has been made or cannot be reasonably identified by an Indemnitee based on the then- known facts and circumstances), including, without limitation, any defense based on or arising out of the disability of any Borrower, any other guarantor or any other party, or the unenforceability of the Credit Party Obligations or any part thereof from any cause, or the cessation from any cause of the liability of any Borrower other than payment in full of the Credit Party Obligations. The Administrative Agent may, at its election, foreclose on any security held by the Administrative Agent or a Lender by one or more judicial or nonjudicial sales, whether or not every aspect of any such sale is commercially reasonable (to the extent such sale is permitted by applicable law), or exercise any other right or remedy the Administrative Agent or any Lender may have against any Borrower or any other party, or any security, without affecting or impairing in any way the liability of any Guarantor hereunder except to the extent the Credit Party Obligations (other than contingent indemnification obligations for which no claim has been made) have been paid in full and the Commitments have been terminated. Each of the Guarantors waives any defense arising out of any such election by the Administrative Agent or any of the Lenders, even though such election operates to impair or extinguish any right of reimbursement or subrogation or other right or remedy of the Guarantors against any Borrower or any other party or any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Guarantors waives all presentments, demands for performance, protests and notices, including, without limitation, notices of nonperformance, notice of protest, notices of dishonor, notices of acceptance of this Guaranty, and notices of the existence, creation or incurring of new or additional Credit Party Obligations. Each Guarantor assumes all responsibility for being and keeping itself informed of the Borrowers’ financial condition and assets, and of all other circumstances bearing upon the risk of nonpayment of the Credit Party Obligations and the nature, scope and extent of the risks which such Guarantor assumes and incurs hereunder, and agrees that neither the Administrative Agent nor any Lender shall have any duty to advise such Guarantor of information known to it regarding such circumstances or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Guarantors hereby agrees it will not exercise any rights of subrogation which it may at any time otherwise have as a result of this Guaranty (whether contractual, under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of the Bankruptcy Code, or otherwise) to the claims of the Lenders or any Bank Product Provider against any Borrower or any other guarantor of the Credit Party Obligations of any Borrower owing to the Lenders or such Bank Product Provider (collectively, the “</w:t>
      </w:r>
      <w:r>
        <w:rPr>
          <w:rFonts w:ascii="Times New Roman;Times;Serif" w:hAnsi="Times New Roman;Times;Serif"/>
          <w:b w:val="false"/>
          <w:i w:val="false"/>
          <w:caps w:val="false"/>
          <w:smallCaps w:val="false"/>
          <w:sz w:val="20"/>
          <w:u w:val="single"/>
        </w:rPr>
        <w:t>Other Parties</w:t>
      </w:r>
      <w:r>
        <w:rPr>
          <w:rFonts w:ascii="Times New Roman;Times;Serif" w:hAnsi="Times New Roman;Times;Serif"/>
          <w:b w:val="false"/>
          <w:i w:val="false"/>
          <w:caps w:val="false"/>
          <w:smallCaps w:val="false"/>
          <w:sz w:val="20"/>
        </w:rPr>
        <w:t>”) and all contractual, statutory or common law rights of reimbursement, contribution or indemnity from any Other Party which it may at any time otherwise have as a result of this Guaranty until such time as the Credit Party Obligations (other than contingent indemnification obligations for which no claim has been made) shall have been paid in full and the Commitments have been terminated. Each of the Guarantors hereby further agrees not to exercise any right to enforce any other remedy which the Administrative Agent, the Lenders or any Bank Product Provider now have or may hereafter have against any Other Party, any endorser or any other guarantor of all or any part of the Credit Party Obligations of the Borrowers and any benefit of, and any right to participate in, any security or collateral given to or for the benefit of the Lenders and/or the Bank Product Providers to secure payment of the Credit Party Obligations of the Borrowers until such time as the Credit Party Obligations (other than contingent indemnification obligations for which no claim has been made) shall have been paid in full and the Commitments have been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10.8</w:t>
        <w:tab/>
      </w:r>
      <w:r>
        <w:rPr>
          <w:rFonts w:ascii="Times New Roman;Times;Serif" w:hAnsi="Times New Roman;Times;Serif"/>
          <w:b/>
          <w:i w:val="false"/>
          <w:caps w:val="false"/>
          <w:smallCaps w:val="false"/>
          <w:sz w:val="20"/>
        </w:rPr>
        <w:t>Limitation on Enforcement.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and the Bank Product Providers agree that this Guaranty may be enforced only by the action of the Administrative Agent acting upon the instructions of the Required Lenders or such Bank Product Provider (only with respect to obligations under the applicable Bank Product) and that no Lender or Bank Product Provider shall have any right individually to seek to enforce or to enforce this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agreed that such rights and remedies may be exercised by the Administrative Agent for the benefit of the Lenders under the terms of this Agreement and for the benefit of any Bank Product Provider under any Bank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10.9</w:t>
        <w:tab/>
      </w:r>
      <w:r>
        <w:rPr>
          <w:rFonts w:ascii="Times New Roman;Times;Serif" w:hAnsi="Times New Roman;Times;Serif"/>
          <w:b/>
          <w:i w:val="false"/>
          <w:caps w:val="false"/>
          <w:smallCaps w:val="false"/>
          <w:sz w:val="20"/>
        </w:rPr>
        <w:t>Confirmation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and the Lenders will, upon request after payment of the Credit Party Obligations which are the subject of this Guaranty and termination of the Commitments relating thereto, confirm to the Borrowers, the Guarantors or any other Person that such indebtedness and obligations have been paid and the Commitments relating thereto terminated, subject to the provisions of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10.10</w:t>
        <w:tab/>
      </w:r>
      <w:r>
        <w:rPr>
          <w:rFonts w:ascii="Times New Roman;Times;Serif" w:hAnsi="Times New Roman;Times;Serif"/>
          <w:b/>
          <w:i w:val="false"/>
          <w:caps w:val="false"/>
          <w:smallCaps w:val="false"/>
          <w:sz w:val="20"/>
        </w:rPr>
        <w:t>Eligible Contract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any Credit Document, no Guarantor shall be deemed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to be a guarantor of any Swap Obligations if such Guarantor was not an “eligible contract participant” as defined in § 1a(18) of the Commodity Exchange Act, at the time the guarantee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becomes effective with respect to such Swap Obligation and to the extent that the providing of such guarantee by such Guarantor would violate the Commodity Exchange Act;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in determining whether any Guarantor is an “eligible contract participant” under the Commodity Exchange Act, the guarantee of the Credit Party Obligations of such Guarantor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by a Guarantor that is also a Qualified ECP Guarantor shall be taken into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10.11</w:t>
        <w:tab/>
      </w:r>
      <w:r>
        <w:rPr>
          <w:rFonts w:ascii="Times New Roman;Times;Serif" w:hAnsi="Times New Roman;Times;Serif"/>
          <w:b/>
          <w:i w:val="false"/>
          <w:caps w:val="false"/>
          <w:smallCaps w:val="false"/>
          <w:sz w:val="20"/>
        </w:rPr>
        <w:t>Keepwell.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anything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 each Qualified ECP Guarantor hereby jointly and severally absolutely, unconditionally and irrevocably undertakes to provide such funds or other support as may be needed from time to time to each Guarantor that is not an “eligible contract participant” under the Commodity Exchange Act at the time the guarantee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becomes effective with respect to any Swap Obligation, to honor all of the Obligations of such Guarantor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in respect of such Swap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each Qualified ECP Guarantor shall only be liable under this </w:t>
      </w:r>
      <w:r>
        <w:rPr>
          <w:rFonts w:ascii="Times New Roman;Times;Serif" w:hAnsi="Times New Roman;Times;Serif"/>
          <w:b w:val="false"/>
          <w:i w:val="false"/>
          <w:caps w:val="false"/>
          <w:smallCaps w:val="false"/>
          <w:sz w:val="20"/>
          <w:u w:val="single"/>
        </w:rPr>
        <w:t>Section 10. 11</w:t>
      </w:r>
      <w:r>
        <w:rPr>
          <w:rFonts w:ascii="Times New Roman;Times;Serif" w:hAnsi="Times New Roman;Times;Serif"/>
          <w:b w:val="false"/>
          <w:i w:val="false"/>
          <w:caps w:val="false"/>
          <w:smallCaps w:val="false"/>
          <w:sz w:val="20"/>
        </w:rPr>
        <w:t xml:space="preserve"> for the maximum amount of such liability that can be hereby incurred without rendering its undertaking under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or otherwise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voidable under applicable law relating to fraudulent conveyance or fraudulent transfer, and not for any greater amount). The undertaking of each Qualified ECP Guarantor under this </w:t>
      </w:r>
      <w:r>
        <w:rPr>
          <w:rFonts w:ascii="Times New Roman;Times;Serif" w:hAnsi="Times New Roman;Times;Serif"/>
          <w:b w:val="false"/>
          <w:i w:val="false"/>
          <w:caps w:val="false"/>
          <w:smallCaps w:val="false"/>
          <w:sz w:val="20"/>
          <w:u w:val="single"/>
        </w:rPr>
        <w:t>Section 10 .11</w:t>
      </w:r>
      <w:r>
        <w:rPr>
          <w:rFonts w:ascii="Times New Roman;Times;Serif" w:hAnsi="Times New Roman;Times;Serif"/>
          <w:b w:val="false"/>
          <w:i w:val="false"/>
          <w:caps w:val="false"/>
          <w:smallCaps w:val="false"/>
          <w:sz w:val="20"/>
        </w:rPr>
        <w:t xml:space="preserve"> shall remain in full force and effect until termination of the Commitments and payment in full of all Loans and other Credit Party Obligations. Each Qualified ECP Guarantor intends that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constitute, and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shall be deemed to constitute, a “keepwell, support, or other agreement” for the benefit of each Guarantor that would otherwise not constitute an “eligible contract participant” under the Commodity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42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3420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by its proper and duly authorized officers as of the day and year first above written.</w:t>
      </w:r>
    </w:p>
    <w:p>
      <w:pPr>
        <w:pStyle w:val="TextBody"/>
        <w:bidi w:val="0"/>
        <w:spacing w:before="0" w:after="0"/>
        <w:ind w:left="0" w:right="0" w:firstLine="720"/>
        <w:jc w:val="left"/>
        <w:rPr>
          <w:caps w:val="false"/>
          <w:smallCaps w:val="false"/>
        </w:rPr>
      </w:pPr>
      <w:r>
        <w:rPr>
          <w:caps w:val="false"/>
          <w:smallCaps w:val="false"/>
        </w:rPr>
        <w:t> </w:t>
      </w:r>
    </w:p>
    <w:tbl>
      <w:tblPr>
        <w:tblW w:w="5484" w:type="dxa"/>
        <w:jc w:val="left"/>
        <w:tblInd w:w="0" w:type="dxa"/>
        <w:tblLayout w:type="fixed"/>
        <w:tblCellMar>
          <w:top w:w="0" w:type="dxa"/>
          <w:left w:w="0" w:type="dxa"/>
          <w:bottom w:w="0" w:type="dxa"/>
          <w:right w:w="0" w:type="dxa"/>
        </w:tblCellMar>
      </w:tblPr>
      <w:tblGrid>
        <w:gridCol w:w="1715"/>
        <w:gridCol w:w="852"/>
        <w:gridCol w:w="2917"/>
      </w:tblGrid>
      <w:tr>
        <w:trPr/>
        <w:tc>
          <w:tcPr>
            <w:tcW w:w="1715" w:type="dxa"/>
            <w:tcBorders/>
            <w:vAlign w:val="center"/>
          </w:tcPr>
          <w:p>
            <w:pPr>
              <w:pStyle w:val="TableContents"/>
              <w:bidi w:val="0"/>
              <w:spacing w:before="0" w:after="283"/>
              <w:jc w:val="left"/>
              <w:rPr>
                <w:b/>
              </w:rPr>
            </w:pPr>
            <w:r>
              <w:rPr>
                <w:b/>
                <w:u w:val="single"/>
              </w:rPr>
              <w:t>BORROWERS</w:t>
            </w:r>
            <w:r>
              <w:rPr>
                <w:b/>
              </w:rPr>
              <w:t>:</w:t>
            </w:r>
          </w:p>
        </w:tc>
        <w:tc>
          <w:tcPr>
            <w:tcW w:w="3769" w:type="dxa"/>
            <w:gridSpan w:val="2"/>
            <w:tcBorders/>
            <w:vAlign w:val="center"/>
          </w:tcPr>
          <w:p>
            <w:pPr>
              <w:pStyle w:val="TableContents"/>
              <w:bidi w:val="0"/>
              <w:spacing w:before="0" w:after="283"/>
              <w:jc w:val="left"/>
              <w:rPr>
                <w:b/>
              </w:rPr>
            </w:pPr>
            <w:r>
              <w:rPr>
                <w:b/>
              </w:rPr>
              <w:t>ANI PHARMACEUTICALS, INC.,</w:t>
            </w:r>
          </w:p>
        </w:tc>
      </w:tr>
      <w:tr>
        <w:trPr/>
        <w:tc>
          <w:tcPr>
            <w:tcW w:w="171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pPr>
            <w:r>
              <w:rPr/>
              <w:t>a Delaware corporation</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By:</w:t>
            </w:r>
          </w:p>
        </w:tc>
        <w:tc>
          <w:tcPr>
            <w:tcW w:w="2917" w:type="dxa"/>
            <w:tcBorders>
              <w:bottom w:val="single" w:sz="8" w:space="0" w:color="000000"/>
            </w:tcBorders>
            <w:tcMar>
              <w:bottom w:w="28" w:type="dxa"/>
            </w:tcMar>
            <w:vAlign w:val="center"/>
          </w:tcPr>
          <w:p>
            <w:pPr>
              <w:pStyle w:val="TableContents"/>
              <w:bidi w:val="0"/>
              <w:spacing w:before="0" w:after="283"/>
              <w:jc w:val="left"/>
              <w:rPr/>
            </w:pPr>
            <w:r>
              <w:rPr/>
              <w:t>/s/ Stephen Carey</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Name:</w:t>
            </w:r>
          </w:p>
        </w:tc>
        <w:tc>
          <w:tcPr>
            <w:tcW w:w="2917" w:type="dxa"/>
            <w:tcBorders/>
            <w:vAlign w:val="center"/>
          </w:tcPr>
          <w:p>
            <w:pPr>
              <w:pStyle w:val="TableContents"/>
              <w:bidi w:val="0"/>
              <w:spacing w:before="0" w:after="283"/>
              <w:jc w:val="left"/>
              <w:rPr/>
            </w:pPr>
            <w:r>
              <w:rPr/>
              <w:t>Stephen Carey</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Title:</w:t>
            </w:r>
          </w:p>
        </w:tc>
        <w:tc>
          <w:tcPr>
            <w:tcW w:w="2917" w:type="dxa"/>
            <w:tcBorders/>
            <w:vAlign w:val="center"/>
          </w:tcPr>
          <w:p>
            <w:pPr>
              <w:pStyle w:val="TableContents"/>
              <w:bidi w:val="0"/>
              <w:spacing w:before="0" w:after="283"/>
              <w:jc w:val="left"/>
              <w:rPr/>
            </w:pPr>
            <w:r>
              <w:rPr/>
              <w:t>Chief Financial Officer</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b/>
              </w:rPr>
            </w:pPr>
            <w:r>
              <w:rPr>
                <w:b/>
              </w:rPr>
              <w:t>ANIP ACQUISITION COMPANY,</w:t>
            </w:r>
          </w:p>
        </w:tc>
      </w:tr>
      <w:tr>
        <w:trPr/>
        <w:tc>
          <w:tcPr>
            <w:tcW w:w="171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pPr>
            <w:r>
              <w:rPr/>
              <w:t>a Delaware corporation</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By:</w:t>
            </w:r>
          </w:p>
        </w:tc>
        <w:tc>
          <w:tcPr>
            <w:tcW w:w="2917" w:type="dxa"/>
            <w:tcBorders>
              <w:bottom w:val="single" w:sz="8" w:space="0" w:color="000000"/>
            </w:tcBorders>
            <w:tcMar>
              <w:bottom w:w="28" w:type="dxa"/>
            </w:tcMar>
            <w:vAlign w:val="center"/>
          </w:tcPr>
          <w:p>
            <w:pPr>
              <w:pStyle w:val="TableContents"/>
              <w:bidi w:val="0"/>
              <w:spacing w:before="0" w:after="283"/>
              <w:jc w:val="left"/>
              <w:rPr/>
            </w:pPr>
            <w:r>
              <w:rPr/>
              <w:t>/s/ Stephen Carey</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Name:</w:t>
            </w:r>
          </w:p>
        </w:tc>
        <w:tc>
          <w:tcPr>
            <w:tcW w:w="2917" w:type="dxa"/>
            <w:tcBorders/>
            <w:vAlign w:val="center"/>
          </w:tcPr>
          <w:p>
            <w:pPr>
              <w:pStyle w:val="TableContents"/>
              <w:bidi w:val="0"/>
              <w:spacing w:before="0" w:after="283"/>
              <w:jc w:val="left"/>
              <w:rPr/>
            </w:pPr>
            <w:r>
              <w:rPr/>
              <w:t>Stephen Carey</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Title:</w:t>
            </w:r>
          </w:p>
        </w:tc>
        <w:tc>
          <w:tcPr>
            <w:tcW w:w="2917" w:type="dxa"/>
            <w:tcBorders/>
            <w:vAlign w:val="center"/>
          </w:tcPr>
          <w:p>
            <w:pPr>
              <w:pStyle w:val="TableContents"/>
              <w:bidi w:val="0"/>
              <w:spacing w:before="0" w:after="283"/>
              <w:jc w:val="left"/>
              <w:rPr/>
            </w:pPr>
            <w:r>
              <w:rPr/>
              <w:t>Chief Financial Officer</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24" w:type="dxa"/>
        <w:jc w:val="left"/>
        <w:tblInd w:w="0" w:type="dxa"/>
        <w:tblLayout w:type="fixed"/>
        <w:tblCellMar>
          <w:top w:w="0" w:type="dxa"/>
          <w:left w:w="0" w:type="dxa"/>
          <w:bottom w:w="0" w:type="dxa"/>
          <w:right w:w="0" w:type="dxa"/>
        </w:tblCellMar>
      </w:tblPr>
      <w:tblGrid>
        <w:gridCol w:w="1910"/>
        <w:gridCol w:w="794"/>
        <w:gridCol w:w="2720"/>
      </w:tblGrid>
      <w:tr>
        <w:trPr/>
        <w:tc>
          <w:tcPr>
            <w:tcW w:w="1910" w:type="dxa"/>
            <w:tcBorders/>
            <w:vAlign w:val="center"/>
          </w:tcPr>
          <w:p>
            <w:pPr>
              <w:pStyle w:val="TableContents"/>
              <w:bidi w:val="0"/>
              <w:spacing w:before="0" w:after="283"/>
              <w:jc w:val="left"/>
              <w:rPr/>
            </w:pPr>
            <w:r>
              <w:rPr/>
              <w:t> </w:t>
            </w:r>
            <w:r>
              <w:rPr>
                <w:b/>
                <w:u w:val="single"/>
              </w:rPr>
              <w:t>GUARANTORS</w:t>
            </w:r>
            <w:r>
              <w:rPr>
                <w:b/>
              </w:rPr>
              <w:t>:</w:t>
            </w:r>
          </w:p>
        </w:tc>
        <w:tc>
          <w:tcPr>
            <w:tcW w:w="3514" w:type="dxa"/>
            <w:gridSpan w:val="2"/>
            <w:tcBorders/>
            <w:vAlign w:val="center"/>
          </w:tcPr>
          <w:p>
            <w:pPr>
              <w:pStyle w:val="TableContents"/>
              <w:bidi w:val="0"/>
              <w:spacing w:before="0" w:after="283"/>
              <w:jc w:val="left"/>
              <w:rPr>
                <w:b/>
              </w:rPr>
            </w:pPr>
            <w:r>
              <w:rPr>
                <w:b/>
              </w:rPr>
              <w:t>NOVITIUM PHARMA LLC,</w:t>
            </w:r>
          </w:p>
        </w:tc>
      </w:tr>
      <w:tr>
        <w:trPr/>
        <w:tc>
          <w:tcPr>
            <w:tcW w:w="1910"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pPr>
            <w:r>
              <w:rPr/>
              <w:t>a Delaware limited liability company</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By:</w:t>
            </w:r>
          </w:p>
        </w:tc>
        <w:tc>
          <w:tcPr>
            <w:tcW w:w="2720" w:type="dxa"/>
            <w:tcBorders>
              <w:bottom w:val="single" w:sz="8" w:space="0" w:color="000000"/>
            </w:tcBorders>
            <w:tcMar>
              <w:bottom w:w="28" w:type="dxa"/>
            </w:tcMar>
            <w:vAlign w:val="center"/>
          </w:tcPr>
          <w:p>
            <w:pPr>
              <w:pStyle w:val="TableContents"/>
              <w:bidi w:val="0"/>
              <w:spacing w:before="0" w:after="283"/>
              <w:jc w:val="left"/>
              <w:rPr/>
            </w:pPr>
            <w:r>
              <w:rPr/>
              <w:t>/s/ Stephen Carey</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Name:</w:t>
            </w:r>
          </w:p>
        </w:tc>
        <w:tc>
          <w:tcPr>
            <w:tcW w:w="2720" w:type="dxa"/>
            <w:tcBorders/>
            <w:vAlign w:val="center"/>
          </w:tcPr>
          <w:p>
            <w:pPr>
              <w:pStyle w:val="TableContents"/>
              <w:bidi w:val="0"/>
              <w:spacing w:before="0" w:after="283"/>
              <w:jc w:val="left"/>
              <w:rPr/>
            </w:pPr>
            <w:r>
              <w:rPr/>
              <w:t>Stephen Carey</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Title:</w:t>
            </w:r>
          </w:p>
        </w:tc>
        <w:tc>
          <w:tcPr>
            <w:tcW w:w="2720" w:type="dxa"/>
            <w:tcBorders/>
            <w:vAlign w:val="center"/>
          </w:tcPr>
          <w:p>
            <w:pPr>
              <w:pStyle w:val="TableContents"/>
              <w:bidi w:val="0"/>
              <w:spacing w:before="0" w:after="283"/>
              <w:jc w:val="left"/>
              <w:rPr/>
            </w:pPr>
            <w:r>
              <w:rPr/>
              <w:t>Chief Financial Officer</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b/>
              </w:rPr>
            </w:pPr>
            <w:r>
              <w:rPr>
                <w:b/>
              </w:rPr>
              <w:t>NEW CASTLE PHARMA LLC,</w:t>
            </w:r>
          </w:p>
        </w:tc>
      </w:tr>
      <w:tr>
        <w:trPr/>
        <w:tc>
          <w:tcPr>
            <w:tcW w:w="1910"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pPr>
            <w:r>
              <w:rPr/>
              <w:t>a Delaware limited liability company</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By:</w:t>
            </w:r>
          </w:p>
        </w:tc>
        <w:tc>
          <w:tcPr>
            <w:tcW w:w="2720" w:type="dxa"/>
            <w:tcBorders>
              <w:bottom w:val="single" w:sz="8" w:space="0" w:color="000000"/>
            </w:tcBorders>
            <w:tcMar>
              <w:bottom w:w="28" w:type="dxa"/>
            </w:tcMar>
            <w:vAlign w:val="center"/>
          </w:tcPr>
          <w:p>
            <w:pPr>
              <w:pStyle w:val="TableContents"/>
              <w:bidi w:val="0"/>
              <w:spacing w:before="0" w:after="283"/>
              <w:jc w:val="left"/>
              <w:rPr/>
            </w:pPr>
            <w:r>
              <w:rPr/>
              <w:t>/s/ Stephen Carey</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Name:</w:t>
            </w:r>
          </w:p>
        </w:tc>
        <w:tc>
          <w:tcPr>
            <w:tcW w:w="2720" w:type="dxa"/>
            <w:tcBorders/>
            <w:vAlign w:val="center"/>
          </w:tcPr>
          <w:p>
            <w:pPr>
              <w:pStyle w:val="TableContents"/>
              <w:bidi w:val="0"/>
              <w:spacing w:before="0" w:after="283"/>
              <w:jc w:val="left"/>
              <w:rPr/>
            </w:pPr>
            <w:r>
              <w:rPr/>
              <w:t>Stephen Carey</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Title:</w:t>
            </w:r>
          </w:p>
        </w:tc>
        <w:tc>
          <w:tcPr>
            <w:tcW w:w="2720" w:type="dxa"/>
            <w:tcBorders/>
            <w:vAlign w:val="center"/>
          </w:tcPr>
          <w:p>
            <w:pPr>
              <w:pStyle w:val="TableContents"/>
              <w:bidi w:val="0"/>
              <w:spacing w:before="0" w:after="283"/>
              <w:jc w:val="left"/>
              <w:rPr/>
            </w:pPr>
            <w:r>
              <w:rPr/>
              <w:t>Chief Financial Officer</w:t>
            </w:r>
          </w:p>
        </w:tc>
      </w:tr>
      <w:tr>
        <w:trPr/>
        <w:tc>
          <w:tcPr>
            <w:tcW w:w="19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314" w:type="dxa"/>
        <w:jc w:val="left"/>
        <w:tblInd w:w="0" w:type="dxa"/>
        <w:tblLayout w:type="fixed"/>
        <w:tblCellMar>
          <w:top w:w="0" w:type="dxa"/>
          <w:left w:w="0" w:type="dxa"/>
          <w:bottom w:w="0" w:type="dxa"/>
          <w:right w:w="0" w:type="dxa"/>
        </w:tblCellMar>
      </w:tblPr>
      <w:tblGrid>
        <w:gridCol w:w="75"/>
        <w:gridCol w:w="1184"/>
        <w:gridCol w:w="4055"/>
      </w:tblGrid>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b/>
              </w:rPr>
            </w:pPr>
            <w:r>
              <w:rPr>
                <w:b/>
              </w:rPr>
              <w:t>NEW CASTLE PHARMA REAL ESTATE LLC,</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pPr>
            <w:r>
              <w:rPr/>
              <w:t>a Delaware limited liability company</w:t>
            </w:r>
          </w:p>
        </w:tc>
      </w:tr>
      <w:tr>
        <w:trPr/>
        <w:tc>
          <w:tcPr>
            <w:tcW w:w="75"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By:</w:t>
            </w:r>
          </w:p>
        </w:tc>
        <w:tc>
          <w:tcPr>
            <w:tcW w:w="4055" w:type="dxa"/>
            <w:tcBorders>
              <w:bottom w:val="single" w:sz="8" w:space="0" w:color="000000"/>
            </w:tcBorders>
            <w:tcMar>
              <w:bottom w:w="28" w:type="dxa"/>
            </w:tcMar>
            <w:vAlign w:val="center"/>
          </w:tcPr>
          <w:p>
            <w:pPr>
              <w:pStyle w:val="TableContents"/>
              <w:bidi w:val="0"/>
              <w:spacing w:before="0" w:after="283"/>
              <w:jc w:val="left"/>
              <w:rPr/>
            </w:pPr>
            <w:r>
              <w:rPr/>
              <w:t>/s/ Stephen Carey</w:t>
            </w:r>
          </w:p>
        </w:tc>
      </w:tr>
      <w:tr>
        <w:trPr/>
        <w:tc>
          <w:tcPr>
            <w:tcW w:w="75"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Name:</w:t>
            </w:r>
          </w:p>
        </w:tc>
        <w:tc>
          <w:tcPr>
            <w:tcW w:w="4055" w:type="dxa"/>
            <w:tcBorders/>
            <w:vAlign w:val="center"/>
          </w:tcPr>
          <w:p>
            <w:pPr>
              <w:pStyle w:val="TableContents"/>
              <w:bidi w:val="0"/>
              <w:spacing w:before="0" w:after="283"/>
              <w:jc w:val="left"/>
              <w:rPr/>
            </w:pPr>
            <w:r>
              <w:rPr/>
              <w:t>Stephen Carey</w:t>
            </w:r>
          </w:p>
        </w:tc>
      </w:tr>
      <w:tr>
        <w:trPr/>
        <w:tc>
          <w:tcPr>
            <w:tcW w:w="75"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Title:</w:t>
            </w:r>
          </w:p>
        </w:tc>
        <w:tc>
          <w:tcPr>
            <w:tcW w:w="405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36"/>
        <w:gridCol w:w="2028"/>
        <w:gridCol w:w="5441"/>
      </w:tblGrid>
      <w:tr>
        <w:trPr/>
        <w:tc>
          <w:tcPr>
            <w:tcW w:w="2736" w:type="dxa"/>
            <w:tcBorders/>
            <w:vAlign w:val="center"/>
          </w:tcPr>
          <w:p>
            <w:pPr>
              <w:pStyle w:val="TableContents"/>
              <w:bidi w:val="0"/>
              <w:spacing w:before="0" w:after="283"/>
              <w:jc w:val="left"/>
              <w:rPr>
                <w:b/>
              </w:rPr>
            </w:pPr>
            <w:r>
              <w:rPr>
                <w:b/>
                <w:u w:val="single"/>
              </w:rPr>
              <w:t>ADMINISTRATIVE AGENT</w:t>
            </w:r>
            <w:r>
              <w:rPr>
                <w:b/>
              </w:rPr>
              <w:t>:</w:t>
            </w:r>
          </w:p>
        </w:tc>
        <w:tc>
          <w:tcPr>
            <w:tcW w:w="7469" w:type="dxa"/>
            <w:gridSpan w:val="2"/>
            <w:tcBorders/>
            <w:vAlign w:val="center"/>
          </w:tcPr>
          <w:p>
            <w:pPr>
              <w:pStyle w:val="TableContents"/>
              <w:bidi w:val="0"/>
              <w:spacing w:before="0" w:after="283"/>
              <w:jc w:val="left"/>
              <w:rPr/>
            </w:pPr>
            <w:r>
              <w:rPr>
                <w:b/>
              </w:rPr>
              <w:t>JPMORGAN CHASE BANK, N.A.</w:t>
            </w:r>
            <w:r>
              <w:rPr/>
              <w:t>, as a Lender, Swingline Lender, Issuing Lender and as Administrative Agent on behalf of the Lenders</w:t>
            </w:r>
          </w:p>
        </w:tc>
      </w:tr>
      <w:tr>
        <w:trPr/>
        <w:tc>
          <w:tcPr>
            <w:tcW w:w="2736" w:type="dxa"/>
            <w:tcBorders/>
            <w:vAlign w:val="center"/>
          </w:tcPr>
          <w:p>
            <w:pPr>
              <w:pStyle w:val="TableContents"/>
              <w:bidi w:val="0"/>
              <w:spacing w:before="0" w:after="283"/>
              <w:jc w:val="left"/>
              <w:rPr/>
            </w:pPr>
            <w:r>
              <w:rPr/>
              <w:t> </w:t>
            </w:r>
          </w:p>
        </w:tc>
        <w:tc>
          <w:tcPr>
            <w:tcW w:w="2028" w:type="dxa"/>
            <w:tcBorders/>
            <w:vAlign w:val="center"/>
          </w:tcPr>
          <w:p>
            <w:pPr>
              <w:pStyle w:val="TableContents"/>
              <w:bidi w:val="0"/>
              <w:spacing w:before="0" w:after="283"/>
              <w:jc w:val="left"/>
              <w:rPr/>
            </w:pPr>
            <w:r>
              <w:rPr/>
              <w:t> </w:t>
            </w:r>
          </w:p>
        </w:tc>
        <w:tc>
          <w:tcPr>
            <w:tcW w:w="5441" w:type="dxa"/>
            <w:tcBorders/>
            <w:vAlign w:val="center"/>
          </w:tcPr>
          <w:p>
            <w:pPr>
              <w:pStyle w:val="TableContents"/>
              <w:bidi w:val="0"/>
              <w:spacing w:before="0" w:after="283"/>
              <w:jc w:val="left"/>
              <w:rPr/>
            </w:pPr>
            <w:r>
              <w:rPr/>
              <w:t> </w:t>
            </w:r>
          </w:p>
        </w:tc>
      </w:tr>
      <w:tr>
        <w:trPr/>
        <w:tc>
          <w:tcPr>
            <w:tcW w:w="2736" w:type="dxa"/>
            <w:tcBorders/>
            <w:vAlign w:val="center"/>
          </w:tcPr>
          <w:p>
            <w:pPr>
              <w:pStyle w:val="TableContents"/>
              <w:bidi w:val="0"/>
              <w:spacing w:before="0" w:after="283"/>
              <w:jc w:val="left"/>
              <w:rPr/>
            </w:pPr>
            <w:r>
              <w:rPr/>
              <w:t> </w:t>
            </w:r>
          </w:p>
        </w:tc>
        <w:tc>
          <w:tcPr>
            <w:tcW w:w="2028" w:type="dxa"/>
            <w:tcBorders/>
            <w:vAlign w:val="center"/>
          </w:tcPr>
          <w:p>
            <w:pPr>
              <w:pStyle w:val="TableContents"/>
              <w:bidi w:val="0"/>
              <w:spacing w:before="0" w:after="283"/>
              <w:jc w:val="left"/>
              <w:rPr/>
            </w:pPr>
            <w:r>
              <w:rPr/>
              <w:t> </w:t>
            </w:r>
          </w:p>
        </w:tc>
        <w:tc>
          <w:tcPr>
            <w:tcW w:w="5441" w:type="dxa"/>
            <w:tcBorders/>
            <w:vAlign w:val="center"/>
          </w:tcPr>
          <w:p>
            <w:pPr>
              <w:pStyle w:val="TableContents"/>
              <w:bidi w:val="0"/>
              <w:spacing w:before="0" w:after="283"/>
              <w:jc w:val="left"/>
              <w:rPr/>
            </w:pPr>
            <w:r>
              <w:rPr/>
              <w:t> </w:t>
            </w:r>
          </w:p>
        </w:tc>
      </w:tr>
      <w:tr>
        <w:trPr/>
        <w:tc>
          <w:tcPr>
            <w:tcW w:w="2736" w:type="dxa"/>
            <w:tcBorders/>
            <w:vAlign w:val="center"/>
          </w:tcPr>
          <w:p>
            <w:pPr>
              <w:pStyle w:val="TableContents"/>
              <w:bidi w:val="0"/>
              <w:spacing w:before="0" w:after="283"/>
              <w:jc w:val="left"/>
              <w:rPr/>
            </w:pPr>
            <w:r>
              <w:rPr/>
              <w:t> </w:t>
            </w:r>
          </w:p>
        </w:tc>
        <w:tc>
          <w:tcPr>
            <w:tcW w:w="2028" w:type="dxa"/>
            <w:tcBorders/>
            <w:vAlign w:val="center"/>
          </w:tcPr>
          <w:p>
            <w:pPr>
              <w:pStyle w:val="TableContents"/>
              <w:bidi w:val="0"/>
              <w:spacing w:before="0" w:after="283"/>
              <w:jc w:val="left"/>
              <w:rPr/>
            </w:pPr>
            <w:r>
              <w:rPr/>
              <w:t>By:</w:t>
            </w:r>
          </w:p>
        </w:tc>
        <w:tc>
          <w:tcPr>
            <w:tcW w:w="5441" w:type="dxa"/>
            <w:tcBorders>
              <w:bottom w:val="single" w:sz="8" w:space="0" w:color="000000"/>
            </w:tcBorders>
            <w:tcMar>
              <w:bottom w:w="28" w:type="dxa"/>
            </w:tcMar>
            <w:vAlign w:val="center"/>
          </w:tcPr>
          <w:p>
            <w:pPr>
              <w:pStyle w:val="TableContents"/>
              <w:bidi w:val="0"/>
              <w:spacing w:before="0" w:after="283"/>
              <w:jc w:val="left"/>
              <w:rPr/>
            </w:pPr>
            <w:r>
              <w:rPr/>
              <w:t>/s/ Erik Barragan</w:t>
            </w:r>
          </w:p>
        </w:tc>
      </w:tr>
      <w:tr>
        <w:trPr/>
        <w:tc>
          <w:tcPr>
            <w:tcW w:w="2736" w:type="dxa"/>
            <w:tcBorders/>
            <w:vAlign w:val="center"/>
          </w:tcPr>
          <w:p>
            <w:pPr>
              <w:pStyle w:val="TableContents"/>
              <w:bidi w:val="0"/>
              <w:spacing w:before="0" w:after="283"/>
              <w:jc w:val="left"/>
              <w:rPr/>
            </w:pPr>
            <w:r>
              <w:rPr/>
              <w:t> </w:t>
            </w:r>
          </w:p>
        </w:tc>
        <w:tc>
          <w:tcPr>
            <w:tcW w:w="2028" w:type="dxa"/>
            <w:tcBorders/>
            <w:vAlign w:val="center"/>
          </w:tcPr>
          <w:p>
            <w:pPr>
              <w:pStyle w:val="TableContents"/>
              <w:bidi w:val="0"/>
              <w:spacing w:before="0" w:after="283"/>
              <w:jc w:val="left"/>
              <w:rPr/>
            </w:pPr>
            <w:r>
              <w:rPr/>
              <w:t>Name:</w:t>
            </w:r>
          </w:p>
        </w:tc>
        <w:tc>
          <w:tcPr>
            <w:tcW w:w="5441" w:type="dxa"/>
            <w:tcBorders/>
            <w:vAlign w:val="center"/>
          </w:tcPr>
          <w:p>
            <w:pPr>
              <w:pStyle w:val="TableContents"/>
              <w:bidi w:val="0"/>
              <w:spacing w:before="0" w:after="283"/>
              <w:jc w:val="left"/>
              <w:rPr/>
            </w:pPr>
            <w:r>
              <w:rPr/>
              <w:t>Erik Barragan</w:t>
            </w:r>
          </w:p>
        </w:tc>
      </w:tr>
      <w:tr>
        <w:trPr/>
        <w:tc>
          <w:tcPr>
            <w:tcW w:w="2736" w:type="dxa"/>
            <w:tcBorders/>
            <w:vAlign w:val="center"/>
          </w:tcPr>
          <w:p>
            <w:pPr>
              <w:pStyle w:val="TableContents"/>
              <w:bidi w:val="0"/>
              <w:spacing w:before="0" w:after="283"/>
              <w:jc w:val="left"/>
              <w:rPr/>
            </w:pPr>
            <w:r>
              <w:rPr/>
              <w:t> </w:t>
            </w:r>
          </w:p>
        </w:tc>
        <w:tc>
          <w:tcPr>
            <w:tcW w:w="2028" w:type="dxa"/>
            <w:tcBorders/>
            <w:vAlign w:val="center"/>
          </w:tcPr>
          <w:p>
            <w:pPr>
              <w:pStyle w:val="TableContents"/>
              <w:bidi w:val="0"/>
              <w:spacing w:before="0" w:after="283"/>
              <w:jc w:val="left"/>
              <w:rPr/>
            </w:pPr>
            <w:r>
              <w:rPr/>
              <w:t>Title:</w:t>
            </w:r>
          </w:p>
        </w:tc>
        <w:tc>
          <w:tcPr>
            <w:tcW w:w="5441" w:type="dxa"/>
            <w:tcBorders/>
            <w:vAlign w:val="center"/>
          </w:tcPr>
          <w:p>
            <w:pPr>
              <w:pStyle w:val="TableContents"/>
              <w:bidi w:val="0"/>
              <w:spacing w:before="0" w:after="283"/>
              <w:jc w:val="left"/>
              <w:rPr/>
            </w:pPr>
            <w:r>
              <w:rPr/>
              <w:t>Authorized Officer</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6564" w:type="dxa"/>
        <w:jc w:val="left"/>
        <w:tblInd w:w="0" w:type="dxa"/>
        <w:tblLayout w:type="fixed"/>
        <w:tblCellMar>
          <w:top w:w="0" w:type="dxa"/>
          <w:left w:w="0" w:type="dxa"/>
          <w:bottom w:w="0" w:type="dxa"/>
          <w:right w:w="0" w:type="dxa"/>
        </w:tblCellMar>
      </w:tblPr>
      <w:tblGrid>
        <w:gridCol w:w="1280"/>
        <w:gridCol w:w="1382"/>
        <w:gridCol w:w="3902"/>
      </w:tblGrid>
      <w:tr>
        <w:trPr/>
        <w:tc>
          <w:tcPr>
            <w:tcW w:w="1280" w:type="dxa"/>
            <w:tcBorders/>
            <w:vAlign w:val="center"/>
          </w:tcPr>
          <w:p>
            <w:pPr>
              <w:pStyle w:val="TableContents"/>
              <w:bidi w:val="0"/>
              <w:spacing w:before="0" w:after="283"/>
              <w:jc w:val="left"/>
              <w:rPr>
                <w:b/>
              </w:rPr>
            </w:pPr>
            <w:r>
              <w:rPr>
                <w:b/>
                <w:u w:val="single"/>
              </w:rPr>
              <w:t>LENDERS</w:t>
            </w:r>
            <w:r>
              <w:rPr>
                <w:b/>
              </w:rPr>
              <w:t>:</w:t>
            </w:r>
          </w:p>
        </w:tc>
        <w:tc>
          <w:tcPr>
            <w:tcW w:w="5284" w:type="dxa"/>
            <w:gridSpan w:val="2"/>
            <w:tcBorders/>
            <w:vAlign w:val="center"/>
          </w:tcPr>
          <w:p>
            <w:pPr>
              <w:pStyle w:val="TableContents"/>
              <w:bidi w:val="0"/>
              <w:spacing w:before="0" w:after="283"/>
              <w:jc w:val="left"/>
              <w:rPr/>
            </w:pPr>
            <w:r>
              <w:rPr>
                <w:b/>
              </w:rPr>
              <w:t>REGIONS BANK</w:t>
            </w:r>
            <w:r>
              <w:rPr/>
              <w:t>, as a Lender and an Issuing Lender</w:t>
            </w:r>
          </w:p>
        </w:tc>
      </w:tr>
      <w:tr>
        <w:trPr/>
        <w:tc>
          <w:tcPr>
            <w:tcW w:w="128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left"/>
              <w:rPr/>
            </w:pPr>
            <w:r>
              <w:rPr/>
              <w:t> </w:t>
            </w:r>
          </w:p>
        </w:tc>
        <w:tc>
          <w:tcPr>
            <w:tcW w:w="3902"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left"/>
              <w:rPr/>
            </w:pPr>
            <w:r>
              <w:rPr/>
              <w:t> </w:t>
            </w:r>
          </w:p>
        </w:tc>
        <w:tc>
          <w:tcPr>
            <w:tcW w:w="3902"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left"/>
              <w:rPr/>
            </w:pPr>
            <w:r>
              <w:rPr/>
              <w:t>By:</w:t>
            </w:r>
          </w:p>
        </w:tc>
        <w:tc>
          <w:tcPr>
            <w:tcW w:w="3902" w:type="dxa"/>
            <w:tcBorders>
              <w:bottom w:val="single" w:sz="8" w:space="0" w:color="000000"/>
            </w:tcBorders>
            <w:tcMar>
              <w:bottom w:w="28" w:type="dxa"/>
            </w:tcMar>
            <w:vAlign w:val="center"/>
          </w:tcPr>
          <w:p>
            <w:pPr>
              <w:pStyle w:val="TableContents"/>
              <w:bidi w:val="0"/>
              <w:spacing w:before="0" w:after="283"/>
              <w:jc w:val="left"/>
              <w:rPr/>
            </w:pPr>
            <w:r>
              <w:rPr/>
              <w:t>/s/ Brian Walsh</w:t>
            </w:r>
          </w:p>
        </w:tc>
      </w:tr>
      <w:tr>
        <w:trPr/>
        <w:tc>
          <w:tcPr>
            <w:tcW w:w="128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left"/>
              <w:rPr/>
            </w:pPr>
            <w:r>
              <w:rPr/>
              <w:t>Name:</w:t>
            </w:r>
          </w:p>
        </w:tc>
        <w:tc>
          <w:tcPr>
            <w:tcW w:w="3902" w:type="dxa"/>
            <w:tcBorders/>
            <w:vAlign w:val="center"/>
          </w:tcPr>
          <w:p>
            <w:pPr>
              <w:pStyle w:val="TableContents"/>
              <w:bidi w:val="0"/>
              <w:spacing w:before="0" w:after="283"/>
              <w:jc w:val="left"/>
              <w:rPr/>
            </w:pPr>
            <w:r>
              <w:rPr/>
              <w:t>Brian Walsh</w:t>
            </w:r>
          </w:p>
        </w:tc>
      </w:tr>
      <w:tr>
        <w:trPr/>
        <w:tc>
          <w:tcPr>
            <w:tcW w:w="128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left"/>
              <w:rPr/>
            </w:pPr>
            <w:r>
              <w:rPr/>
              <w:t>Title:</w:t>
            </w:r>
          </w:p>
        </w:tc>
        <w:tc>
          <w:tcPr>
            <w:tcW w:w="3902" w:type="dxa"/>
            <w:tcBorders/>
            <w:vAlign w:val="center"/>
          </w:tcPr>
          <w:p>
            <w:pPr>
              <w:pStyle w:val="TableContents"/>
              <w:bidi w:val="0"/>
              <w:spacing w:before="0" w:after="283"/>
              <w:jc w:val="left"/>
              <w:rPr/>
            </w:pPr>
            <w:r>
              <w:rPr/>
              <w:t>Managing Director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9084" w:type="dxa"/>
        <w:jc w:val="left"/>
        <w:tblInd w:w="0" w:type="dxa"/>
        <w:tblLayout w:type="fixed"/>
        <w:tblCellMar>
          <w:top w:w="0" w:type="dxa"/>
          <w:left w:w="0" w:type="dxa"/>
          <w:bottom w:w="0" w:type="dxa"/>
          <w:right w:w="0" w:type="dxa"/>
        </w:tblCellMar>
      </w:tblPr>
      <w:tblGrid>
        <w:gridCol w:w="1280"/>
        <w:gridCol w:w="2005"/>
        <w:gridCol w:w="5799"/>
      </w:tblGrid>
      <w:tr>
        <w:trPr/>
        <w:tc>
          <w:tcPr>
            <w:tcW w:w="1280" w:type="dxa"/>
            <w:tcBorders/>
            <w:vAlign w:val="center"/>
          </w:tcPr>
          <w:p>
            <w:pPr>
              <w:pStyle w:val="TableContents"/>
              <w:bidi w:val="0"/>
              <w:spacing w:before="0" w:after="283"/>
              <w:jc w:val="left"/>
              <w:rPr>
                <w:b/>
              </w:rPr>
            </w:pPr>
            <w:r>
              <w:rPr>
                <w:b/>
                <w:u w:val="single"/>
              </w:rPr>
              <w:t>LENDERS</w:t>
            </w:r>
            <w:r>
              <w:rPr>
                <w:b/>
              </w:rPr>
              <w:t>:</w:t>
            </w:r>
          </w:p>
        </w:tc>
        <w:tc>
          <w:tcPr>
            <w:tcW w:w="7804" w:type="dxa"/>
            <w:gridSpan w:val="2"/>
            <w:tcBorders/>
            <w:vAlign w:val="center"/>
          </w:tcPr>
          <w:p>
            <w:pPr>
              <w:pStyle w:val="TableContents"/>
              <w:bidi w:val="0"/>
              <w:spacing w:before="0" w:after="283"/>
              <w:jc w:val="left"/>
              <w:rPr/>
            </w:pPr>
            <w:r>
              <w:rPr>
                <w:b/>
              </w:rPr>
              <w:t xml:space="preserve">THE HUNTINGTON NATIONAL BANK, </w:t>
            </w:r>
            <w:r>
              <w:rPr/>
              <w:t>as a Lender and an Issuing Lender</w:t>
            </w:r>
          </w:p>
        </w:tc>
      </w:tr>
      <w:tr>
        <w:trPr/>
        <w:tc>
          <w:tcPr>
            <w:tcW w:w="1280" w:type="dxa"/>
            <w:tcBorders/>
            <w:vAlign w:val="center"/>
          </w:tcPr>
          <w:p>
            <w:pPr>
              <w:pStyle w:val="TableContents"/>
              <w:bidi w:val="0"/>
              <w:spacing w:before="0" w:after="283"/>
              <w:jc w:val="left"/>
              <w:rPr/>
            </w:pPr>
            <w:r>
              <w:rPr/>
              <w:t> </w:t>
            </w:r>
          </w:p>
        </w:tc>
        <w:tc>
          <w:tcPr>
            <w:tcW w:w="2005"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2005"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2005" w:type="dxa"/>
            <w:tcBorders/>
            <w:vAlign w:val="center"/>
          </w:tcPr>
          <w:p>
            <w:pPr>
              <w:pStyle w:val="TableContents"/>
              <w:bidi w:val="0"/>
              <w:spacing w:before="0" w:after="283"/>
              <w:jc w:val="left"/>
              <w:rPr/>
            </w:pPr>
            <w:r>
              <w:rPr/>
              <w:t>By:</w:t>
            </w:r>
          </w:p>
        </w:tc>
        <w:tc>
          <w:tcPr>
            <w:tcW w:w="5799" w:type="dxa"/>
            <w:tcBorders>
              <w:bottom w:val="single" w:sz="8" w:space="0" w:color="000000"/>
            </w:tcBorders>
            <w:tcMar>
              <w:bottom w:w="28" w:type="dxa"/>
            </w:tcMar>
            <w:vAlign w:val="center"/>
          </w:tcPr>
          <w:p>
            <w:pPr>
              <w:pStyle w:val="TableContents"/>
              <w:bidi w:val="0"/>
              <w:spacing w:before="0" w:after="283"/>
              <w:jc w:val="left"/>
              <w:rPr/>
            </w:pPr>
            <w:r>
              <w:rPr/>
              <w:t>/s/ Joseph A. Miller</w:t>
            </w:r>
          </w:p>
        </w:tc>
      </w:tr>
      <w:tr>
        <w:trPr/>
        <w:tc>
          <w:tcPr>
            <w:tcW w:w="1280" w:type="dxa"/>
            <w:tcBorders/>
            <w:vAlign w:val="center"/>
          </w:tcPr>
          <w:p>
            <w:pPr>
              <w:pStyle w:val="TableContents"/>
              <w:bidi w:val="0"/>
              <w:spacing w:before="0" w:after="283"/>
              <w:jc w:val="left"/>
              <w:rPr/>
            </w:pPr>
            <w:r>
              <w:rPr/>
              <w:t> </w:t>
            </w:r>
          </w:p>
        </w:tc>
        <w:tc>
          <w:tcPr>
            <w:tcW w:w="2005" w:type="dxa"/>
            <w:tcBorders/>
            <w:vAlign w:val="center"/>
          </w:tcPr>
          <w:p>
            <w:pPr>
              <w:pStyle w:val="TableContents"/>
              <w:bidi w:val="0"/>
              <w:spacing w:before="0" w:after="283"/>
              <w:jc w:val="left"/>
              <w:rPr/>
            </w:pPr>
            <w:r>
              <w:rPr/>
              <w:t>Name:</w:t>
            </w:r>
          </w:p>
        </w:tc>
        <w:tc>
          <w:tcPr>
            <w:tcW w:w="5799" w:type="dxa"/>
            <w:tcBorders/>
            <w:vAlign w:val="center"/>
          </w:tcPr>
          <w:p>
            <w:pPr>
              <w:pStyle w:val="TableContents"/>
              <w:bidi w:val="0"/>
              <w:spacing w:before="0" w:after="283"/>
              <w:jc w:val="left"/>
              <w:rPr/>
            </w:pPr>
            <w:r>
              <w:rPr/>
              <w:t>Joseph A. Miller</w:t>
            </w:r>
          </w:p>
        </w:tc>
      </w:tr>
      <w:tr>
        <w:trPr/>
        <w:tc>
          <w:tcPr>
            <w:tcW w:w="1280" w:type="dxa"/>
            <w:tcBorders/>
            <w:vAlign w:val="center"/>
          </w:tcPr>
          <w:p>
            <w:pPr>
              <w:pStyle w:val="TableContents"/>
              <w:bidi w:val="0"/>
              <w:spacing w:before="0" w:after="283"/>
              <w:jc w:val="left"/>
              <w:rPr/>
            </w:pPr>
            <w:r>
              <w:rPr/>
              <w:t> </w:t>
            </w:r>
          </w:p>
        </w:tc>
        <w:tc>
          <w:tcPr>
            <w:tcW w:w="2005" w:type="dxa"/>
            <w:tcBorders/>
            <w:vAlign w:val="center"/>
          </w:tcPr>
          <w:p>
            <w:pPr>
              <w:pStyle w:val="TableContents"/>
              <w:bidi w:val="0"/>
              <w:spacing w:before="0" w:after="283"/>
              <w:jc w:val="left"/>
              <w:rPr/>
            </w:pPr>
            <w:r>
              <w:rPr/>
              <w:t>Title:</w:t>
            </w:r>
          </w:p>
        </w:tc>
        <w:tc>
          <w:tcPr>
            <w:tcW w:w="5799" w:type="dxa"/>
            <w:tcBorders/>
            <w:vAlign w:val="center"/>
          </w:tcPr>
          <w:p>
            <w:pPr>
              <w:pStyle w:val="TableContents"/>
              <w:bidi w:val="0"/>
              <w:spacing w:before="0" w:after="283"/>
              <w:jc w:val="left"/>
              <w:rPr/>
            </w:pPr>
            <w:r>
              <w:rPr/>
              <w:t>Managing Director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7644" w:type="dxa"/>
        <w:jc w:val="left"/>
        <w:tblInd w:w="0" w:type="dxa"/>
        <w:tblLayout w:type="fixed"/>
        <w:tblCellMar>
          <w:top w:w="0" w:type="dxa"/>
          <w:left w:w="0" w:type="dxa"/>
          <w:bottom w:w="0" w:type="dxa"/>
          <w:right w:w="0" w:type="dxa"/>
        </w:tblCellMar>
      </w:tblPr>
      <w:tblGrid>
        <w:gridCol w:w="1280"/>
        <w:gridCol w:w="1509"/>
        <w:gridCol w:w="4855"/>
      </w:tblGrid>
      <w:tr>
        <w:trPr/>
        <w:tc>
          <w:tcPr>
            <w:tcW w:w="1280" w:type="dxa"/>
            <w:tcBorders/>
            <w:vAlign w:val="center"/>
          </w:tcPr>
          <w:p>
            <w:pPr>
              <w:pStyle w:val="TableContents"/>
              <w:bidi w:val="0"/>
              <w:spacing w:before="0" w:after="283"/>
              <w:jc w:val="left"/>
              <w:rPr>
                <w:b/>
              </w:rPr>
            </w:pPr>
            <w:r>
              <w:rPr>
                <w:b/>
                <w:u w:val="single"/>
              </w:rPr>
              <w:t>LENDERS</w:t>
            </w:r>
            <w:r>
              <w:rPr>
                <w:b/>
              </w:rPr>
              <w:t>:</w:t>
            </w:r>
          </w:p>
        </w:tc>
        <w:tc>
          <w:tcPr>
            <w:tcW w:w="6364" w:type="dxa"/>
            <w:gridSpan w:val="2"/>
            <w:tcBorders/>
            <w:vAlign w:val="center"/>
          </w:tcPr>
          <w:p>
            <w:pPr>
              <w:pStyle w:val="TableContents"/>
              <w:bidi w:val="0"/>
              <w:spacing w:before="0" w:after="283"/>
              <w:jc w:val="left"/>
              <w:rPr/>
            </w:pPr>
            <w:r>
              <w:rPr>
                <w:b/>
              </w:rPr>
              <w:t xml:space="preserve">BANK OF AMERICA, N.A., </w:t>
            </w:r>
            <w:r>
              <w:rPr/>
              <w:t>as a Lender and an Issuing Lender</w:t>
            </w:r>
          </w:p>
        </w:tc>
      </w:tr>
      <w:tr>
        <w:trPr/>
        <w:tc>
          <w:tcPr>
            <w:tcW w:w="1280"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 </w:t>
            </w:r>
          </w:p>
        </w:tc>
        <w:tc>
          <w:tcPr>
            <w:tcW w:w="485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 </w:t>
            </w:r>
          </w:p>
        </w:tc>
        <w:tc>
          <w:tcPr>
            <w:tcW w:w="485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By:</w:t>
            </w:r>
          </w:p>
        </w:tc>
        <w:tc>
          <w:tcPr>
            <w:tcW w:w="4855" w:type="dxa"/>
            <w:tcBorders>
              <w:bottom w:val="single" w:sz="8" w:space="0" w:color="000000"/>
            </w:tcBorders>
            <w:tcMar>
              <w:bottom w:w="28" w:type="dxa"/>
            </w:tcMar>
            <w:vAlign w:val="center"/>
          </w:tcPr>
          <w:p>
            <w:pPr>
              <w:pStyle w:val="TableContents"/>
              <w:bidi w:val="0"/>
              <w:spacing w:before="0" w:after="283"/>
              <w:jc w:val="left"/>
              <w:rPr/>
            </w:pPr>
            <w:r>
              <w:rPr/>
              <w:t>/s/ Said Saffari</w:t>
            </w:r>
          </w:p>
        </w:tc>
      </w:tr>
      <w:tr>
        <w:trPr/>
        <w:tc>
          <w:tcPr>
            <w:tcW w:w="1280"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Name:</w:t>
            </w:r>
          </w:p>
        </w:tc>
        <w:tc>
          <w:tcPr>
            <w:tcW w:w="4855" w:type="dxa"/>
            <w:tcBorders/>
            <w:vAlign w:val="center"/>
          </w:tcPr>
          <w:p>
            <w:pPr>
              <w:pStyle w:val="TableContents"/>
              <w:bidi w:val="0"/>
              <w:spacing w:before="0" w:after="283"/>
              <w:jc w:val="left"/>
              <w:rPr/>
            </w:pPr>
            <w:r>
              <w:rPr/>
              <w:t>Said Saffari</w:t>
            </w:r>
          </w:p>
        </w:tc>
      </w:tr>
      <w:tr>
        <w:trPr/>
        <w:tc>
          <w:tcPr>
            <w:tcW w:w="1280"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Title:</w:t>
            </w:r>
          </w:p>
        </w:tc>
        <w:tc>
          <w:tcPr>
            <w:tcW w:w="4855" w:type="dxa"/>
            <w:tcBorders/>
            <w:vAlign w:val="center"/>
          </w:tcPr>
          <w:p>
            <w:pPr>
              <w:pStyle w:val="TableContents"/>
              <w:bidi w:val="0"/>
              <w:spacing w:before="0" w:after="283"/>
              <w:jc w:val="left"/>
              <w:rPr/>
            </w:pPr>
            <w:r>
              <w:rPr/>
              <w:t>Senior Vice President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4974" w:type="dxa"/>
        <w:jc w:val="left"/>
        <w:tblInd w:w="0" w:type="dxa"/>
        <w:tblLayout w:type="fixed"/>
        <w:tblCellMar>
          <w:top w:w="0" w:type="dxa"/>
          <w:left w:w="0" w:type="dxa"/>
          <w:bottom w:w="0" w:type="dxa"/>
          <w:right w:w="0" w:type="dxa"/>
        </w:tblCellMar>
      </w:tblPr>
      <w:tblGrid>
        <w:gridCol w:w="1280"/>
        <w:gridCol w:w="972"/>
        <w:gridCol w:w="2722"/>
      </w:tblGrid>
      <w:tr>
        <w:trPr/>
        <w:tc>
          <w:tcPr>
            <w:tcW w:w="1280" w:type="dxa"/>
            <w:tcBorders/>
            <w:vAlign w:val="center"/>
          </w:tcPr>
          <w:p>
            <w:pPr>
              <w:pStyle w:val="TableContents"/>
              <w:bidi w:val="0"/>
              <w:spacing w:before="0" w:after="283"/>
              <w:jc w:val="left"/>
              <w:rPr>
                <w:b/>
              </w:rPr>
            </w:pPr>
            <w:r>
              <w:rPr>
                <w:b/>
                <w:u w:val="single"/>
              </w:rPr>
              <w:t>LENDERS</w:t>
            </w:r>
            <w:r>
              <w:rPr>
                <w:b/>
              </w:rPr>
              <w:t>:</w:t>
            </w:r>
          </w:p>
        </w:tc>
        <w:tc>
          <w:tcPr>
            <w:tcW w:w="3694" w:type="dxa"/>
            <w:gridSpan w:val="2"/>
            <w:tcBorders/>
            <w:vAlign w:val="center"/>
          </w:tcPr>
          <w:p>
            <w:pPr>
              <w:pStyle w:val="TableContents"/>
              <w:bidi w:val="0"/>
              <w:spacing w:before="0" w:after="283"/>
              <w:jc w:val="left"/>
              <w:rPr/>
            </w:pPr>
            <w:r>
              <w:rPr>
                <w:b/>
              </w:rPr>
              <w:t xml:space="preserve">Wells Fargo Bank, N.A., </w:t>
            </w:r>
            <w:r>
              <w:rPr/>
              <w:t>as a Lender</w:t>
            </w:r>
          </w:p>
        </w:tc>
      </w:tr>
      <w:tr>
        <w:trPr/>
        <w:tc>
          <w:tcPr>
            <w:tcW w:w="128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left"/>
              <w:rPr/>
            </w:pPr>
            <w:r>
              <w:rPr/>
              <w:t> </w:t>
            </w:r>
          </w:p>
        </w:tc>
        <w:tc>
          <w:tcPr>
            <w:tcW w:w="2722"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left"/>
              <w:rPr/>
            </w:pPr>
            <w:r>
              <w:rPr/>
              <w:t> </w:t>
            </w:r>
          </w:p>
        </w:tc>
        <w:tc>
          <w:tcPr>
            <w:tcW w:w="2722"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left"/>
              <w:rPr/>
            </w:pPr>
            <w:r>
              <w:rPr/>
              <w:t>By:</w:t>
            </w:r>
          </w:p>
        </w:tc>
        <w:tc>
          <w:tcPr>
            <w:tcW w:w="2722" w:type="dxa"/>
            <w:tcBorders>
              <w:bottom w:val="single" w:sz="8" w:space="0" w:color="000000"/>
            </w:tcBorders>
            <w:tcMar>
              <w:bottom w:w="28" w:type="dxa"/>
            </w:tcMar>
            <w:vAlign w:val="center"/>
          </w:tcPr>
          <w:p>
            <w:pPr>
              <w:pStyle w:val="TableContents"/>
              <w:bidi w:val="0"/>
              <w:spacing w:before="0" w:after="283"/>
              <w:jc w:val="left"/>
              <w:rPr/>
            </w:pPr>
            <w:r>
              <w:rPr/>
              <w:t>/s/ Brandon Moss</w:t>
            </w:r>
          </w:p>
        </w:tc>
      </w:tr>
      <w:tr>
        <w:trPr/>
        <w:tc>
          <w:tcPr>
            <w:tcW w:w="128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left"/>
              <w:rPr/>
            </w:pPr>
            <w:r>
              <w:rPr/>
              <w:t>Name:</w:t>
            </w:r>
          </w:p>
        </w:tc>
        <w:tc>
          <w:tcPr>
            <w:tcW w:w="2722" w:type="dxa"/>
            <w:tcBorders/>
            <w:vAlign w:val="center"/>
          </w:tcPr>
          <w:p>
            <w:pPr>
              <w:pStyle w:val="TableContents"/>
              <w:bidi w:val="0"/>
              <w:spacing w:before="0" w:after="283"/>
              <w:jc w:val="left"/>
              <w:rPr/>
            </w:pPr>
            <w:r>
              <w:rPr/>
              <w:t>Brandon Moss</w:t>
            </w:r>
          </w:p>
        </w:tc>
      </w:tr>
      <w:tr>
        <w:trPr/>
        <w:tc>
          <w:tcPr>
            <w:tcW w:w="128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left"/>
              <w:rPr/>
            </w:pPr>
            <w:r>
              <w:rPr/>
              <w:t>Title:</w:t>
            </w:r>
          </w:p>
        </w:tc>
        <w:tc>
          <w:tcPr>
            <w:tcW w:w="2722" w:type="dxa"/>
            <w:tcBorders/>
            <w:vAlign w:val="center"/>
          </w:tcPr>
          <w:p>
            <w:pPr>
              <w:pStyle w:val="TableContents"/>
              <w:bidi w:val="0"/>
              <w:spacing w:before="0" w:after="283"/>
              <w:jc w:val="left"/>
              <w:rPr/>
            </w:pPr>
            <w:r>
              <w:rPr/>
              <w:t>Executive Director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724" w:type="dxa"/>
        <w:jc w:val="left"/>
        <w:tblInd w:w="0" w:type="dxa"/>
        <w:tblLayout w:type="fixed"/>
        <w:tblCellMar>
          <w:top w:w="0" w:type="dxa"/>
          <w:left w:w="0" w:type="dxa"/>
          <w:bottom w:w="0" w:type="dxa"/>
          <w:right w:w="0" w:type="dxa"/>
        </w:tblCellMar>
      </w:tblPr>
      <w:tblGrid>
        <w:gridCol w:w="1280"/>
        <w:gridCol w:w="1054"/>
        <w:gridCol w:w="3390"/>
      </w:tblGrid>
      <w:tr>
        <w:trPr/>
        <w:tc>
          <w:tcPr>
            <w:tcW w:w="1280" w:type="dxa"/>
            <w:tcBorders/>
            <w:vAlign w:val="center"/>
          </w:tcPr>
          <w:p>
            <w:pPr>
              <w:pStyle w:val="TableContents"/>
              <w:bidi w:val="0"/>
              <w:spacing w:before="0" w:after="283"/>
              <w:jc w:val="left"/>
              <w:rPr>
                <w:b/>
              </w:rPr>
            </w:pPr>
            <w:r>
              <w:rPr>
                <w:b/>
                <w:u w:val="single"/>
              </w:rPr>
              <w:t>LENDERS</w:t>
            </w:r>
            <w:r>
              <w:rPr>
                <w:b/>
              </w:rPr>
              <w:t>:</w:t>
            </w:r>
          </w:p>
        </w:tc>
        <w:tc>
          <w:tcPr>
            <w:tcW w:w="4444" w:type="dxa"/>
            <w:gridSpan w:val="2"/>
            <w:tcBorders/>
            <w:vAlign w:val="center"/>
          </w:tcPr>
          <w:p>
            <w:pPr>
              <w:pStyle w:val="TableContents"/>
              <w:bidi w:val="0"/>
              <w:spacing w:before="0" w:after="283"/>
              <w:jc w:val="left"/>
              <w:rPr/>
            </w:pPr>
            <w:r>
              <w:rPr>
                <w:b/>
              </w:rPr>
              <w:t xml:space="preserve">U.S. Bank National Association, </w:t>
            </w:r>
            <w:r>
              <w:rPr/>
              <w:t>as a Lender</w:t>
            </w:r>
          </w:p>
        </w:tc>
      </w:tr>
      <w:tr>
        <w:trPr/>
        <w:tc>
          <w:tcPr>
            <w:tcW w:w="128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pPr>
            <w:r>
              <w:rPr/>
              <w:t> </w:t>
            </w:r>
          </w:p>
        </w:tc>
        <w:tc>
          <w:tcPr>
            <w:tcW w:w="339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pPr>
            <w:r>
              <w:rPr/>
              <w:t> </w:t>
            </w:r>
          </w:p>
        </w:tc>
        <w:tc>
          <w:tcPr>
            <w:tcW w:w="339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pPr>
            <w:r>
              <w:rPr/>
              <w:t>By:</w:t>
            </w:r>
          </w:p>
        </w:tc>
        <w:tc>
          <w:tcPr>
            <w:tcW w:w="3390" w:type="dxa"/>
            <w:tcBorders>
              <w:bottom w:val="single" w:sz="8" w:space="0" w:color="000000"/>
            </w:tcBorders>
            <w:tcMar>
              <w:bottom w:w="28" w:type="dxa"/>
            </w:tcMar>
            <w:vAlign w:val="center"/>
          </w:tcPr>
          <w:p>
            <w:pPr>
              <w:pStyle w:val="TableContents"/>
              <w:bidi w:val="0"/>
              <w:spacing w:before="0" w:after="283"/>
              <w:jc w:val="left"/>
              <w:rPr/>
            </w:pPr>
            <w:r>
              <w:rPr/>
              <w:t>/s/ David Rofsky</w:t>
            </w:r>
          </w:p>
        </w:tc>
      </w:tr>
      <w:tr>
        <w:trPr/>
        <w:tc>
          <w:tcPr>
            <w:tcW w:w="128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pPr>
            <w:r>
              <w:rPr/>
              <w:t>Name:</w:t>
            </w:r>
          </w:p>
        </w:tc>
        <w:tc>
          <w:tcPr>
            <w:tcW w:w="3390" w:type="dxa"/>
            <w:tcBorders/>
            <w:vAlign w:val="center"/>
          </w:tcPr>
          <w:p>
            <w:pPr>
              <w:pStyle w:val="TableContents"/>
              <w:bidi w:val="0"/>
              <w:spacing w:before="0" w:after="283"/>
              <w:jc w:val="left"/>
              <w:rPr/>
            </w:pPr>
            <w:r>
              <w:rPr/>
              <w:t>David Rofsky</w:t>
            </w:r>
          </w:p>
        </w:tc>
      </w:tr>
      <w:tr>
        <w:trPr/>
        <w:tc>
          <w:tcPr>
            <w:tcW w:w="128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pPr>
            <w:r>
              <w:rPr/>
              <w:t>Title:</w:t>
            </w:r>
          </w:p>
        </w:tc>
        <w:tc>
          <w:tcPr>
            <w:tcW w:w="3390" w:type="dxa"/>
            <w:tcBorders/>
            <w:vAlign w:val="center"/>
          </w:tcPr>
          <w:p>
            <w:pPr>
              <w:pStyle w:val="TableContents"/>
              <w:bidi w:val="0"/>
              <w:spacing w:before="0" w:after="283"/>
              <w:jc w:val="left"/>
              <w:rPr/>
            </w:pPr>
            <w:r>
              <w:rPr/>
              <w:t>Senior Vice President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4545" w:type="dxa"/>
        <w:jc w:val="left"/>
        <w:tblInd w:w="0" w:type="dxa"/>
        <w:tblLayout w:type="fixed"/>
        <w:tblCellMar>
          <w:top w:w="0" w:type="dxa"/>
          <w:left w:w="0" w:type="dxa"/>
          <w:bottom w:w="0" w:type="dxa"/>
          <w:right w:w="0" w:type="dxa"/>
        </w:tblCellMar>
      </w:tblPr>
      <w:tblGrid>
        <w:gridCol w:w="1280"/>
        <w:gridCol w:w="650"/>
        <w:gridCol w:w="2615"/>
      </w:tblGrid>
      <w:tr>
        <w:trPr/>
        <w:tc>
          <w:tcPr>
            <w:tcW w:w="1280" w:type="dxa"/>
            <w:tcBorders/>
            <w:vAlign w:val="center"/>
          </w:tcPr>
          <w:p>
            <w:pPr>
              <w:pStyle w:val="TableContents"/>
              <w:bidi w:val="0"/>
              <w:spacing w:before="0" w:after="283"/>
              <w:jc w:val="left"/>
              <w:rPr>
                <w:b/>
              </w:rPr>
            </w:pPr>
            <w:r>
              <w:rPr>
                <w:b/>
                <w:u w:val="single"/>
              </w:rPr>
              <w:t>LENDERS</w:t>
            </w:r>
            <w:r>
              <w:rPr>
                <w:b/>
              </w:rPr>
              <w:t>:</w:t>
            </w:r>
          </w:p>
        </w:tc>
        <w:tc>
          <w:tcPr>
            <w:tcW w:w="3265" w:type="dxa"/>
            <w:gridSpan w:val="2"/>
            <w:tcBorders/>
            <w:vAlign w:val="center"/>
          </w:tcPr>
          <w:p>
            <w:pPr>
              <w:pStyle w:val="TableContents"/>
              <w:bidi w:val="0"/>
              <w:spacing w:before="0" w:after="283"/>
              <w:jc w:val="left"/>
              <w:rPr/>
            </w:pPr>
            <w:r>
              <w:rPr>
                <w:b/>
              </w:rPr>
              <w:t>Capital One, N.A.</w:t>
            </w:r>
            <w:r>
              <w:rPr/>
              <w:t xml:space="preserve">, as a Lender </w:t>
            </w:r>
          </w:p>
        </w:tc>
      </w:tr>
      <w:tr>
        <w:trPr/>
        <w:tc>
          <w:tcPr>
            <w:tcW w:w="12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615" w:type="dxa"/>
            <w:tcBorders>
              <w:bottom w:val="single" w:sz="8" w:space="0" w:color="000000"/>
            </w:tcBorders>
            <w:tcMar>
              <w:bottom w:w="28" w:type="dxa"/>
            </w:tcMar>
            <w:vAlign w:val="center"/>
          </w:tcPr>
          <w:p>
            <w:pPr>
              <w:pStyle w:val="TableContents"/>
              <w:bidi w:val="0"/>
              <w:spacing w:before="0" w:after="283"/>
              <w:jc w:val="left"/>
              <w:rPr/>
            </w:pPr>
            <w:r>
              <w:rPr/>
              <w:t>/s/ Jay Patel</w:t>
            </w:r>
          </w:p>
        </w:tc>
      </w:tr>
      <w:tr>
        <w:trPr/>
        <w:tc>
          <w:tcPr>
            <w:tcW w:w="12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615" w:type="dxa"/>
            <w:tcBorders/>
            <w:vAlign w:val="center"/>
          </w:tcPr>
          <w:p>
            <w:pPr>
              <w:pStyle w:val="TableContents"/>
              <w:bidi w:val="0"/>
              <w:spacing w:before="0" w:after="283"/>
              <w:jc w:val="left"/>
              <w:rPr/>
            </w:pPr>
            <w:r>
              <w:rPr/>
              <w:t>Jay Patel</w:t>
            </w:r>
          </w:p>
        </w:tc>
      </w:tr>
      <w:tr>
        <w:trPr/>
        <w:tc>
          <w:tcPr>
            <w:tcW w:w="12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615" w:type="dxa"/>
            <w:tcBorders/>
            <w:vAlign w:val="center"/>
          </w:tcPr>
          <w:p>
            <w:pPr>
              <w:pStyle w:val="TableContents"/>
              <w:bidi w:val="0"/>
              <w:spacing w:before="0" w:after="283"/>
              <w:jc w:val="left"/>
              <w:rPr/>
            </w:pPr>
            <w:r>
              <w:rPr/>
              <w:t>Duly Authorized Signatory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919" w:type="dxa"/>
        <w:jc w:val="left"/>
        <w:tblInd w:w="0" w:type="dxa"/>
        <w:tblLayout w:type="fixed"/>
        <w:tblCellMar>
          <w:top w:w="0" w:type="dxa"/>
          <w:left w:w="0" w:type="dxa"/>
          <w:bottom w:w="0" w:type="dxa"/>
          <w:right w:w="0" w:type="dxa"/>
        </w:tblCellMar>
      </w:tblPr>
      <w:tblGrid>
        <w:gridCol w:w="1280"/>
        <w:gridCol w:w="1082"/>
        <w:gridCol w:w="3557"/>
      </w:tblGrid>
      <w:tr>
        <w:trPr/>
        <w:tc>
          <w:tcPr>
            <w:tcW w:w="1280" w:type="dxa"/>
            <w:tcBorders/>
            <w:vAlign w:val="center"/>
          </w:tcPr>
          <w:p>
            <w:pPr>
              <w:pStyle w:val="TableContents"/>
              <w:bidi w:val="0"/>
              <w:spacing w:before="0" w:after="283"/>
              <w:jc w:val="left"/>
              <w:rPr>
                <w:b/>
              </w:rPr>
            </w:pPr>
            <w:r>
              <w:rPr>
                <w:b/>
                <w:u w:val="single"/>
              </w:rPr>
              <w:t>LENDERS</w:t>
            </w:r>
            <w:r>
              <w:rPr>
                <w:b/>
              </w:rPr>
              <w:t>:</w:t>
            </w:r>
          </w:p>
        </w:tc>
        <w:tc>
          <w:tcPr>
            <w:tcW w:w="4639" w:type="dxa"/>
            <w:gridSpan w:val="2"/>
            <w:tcBorders/>
            <w:vAlign w:val="center"/>
          </w:tcPr>
          <w:p>
            <w:pPr>
              <w:pStyle w:val="TableContents"/>
              <w:bidi w:val="0"/>
              <w:spacing w:before="0" w:after="283"/>
              <w:jc w:val="left"/>
              <w:rPr/>
            </w:pPr>
            <w:r>
              <w:rPr>
                <w:b/>
              </w:rPr>
              <w:t>PNC Bank, National Association</w:t>
            </w:r>
            <w:r>
              <w:rPr/>
              <w:t xml:space="preserve">, as a Lender </w:t>
            </w:r>
          </w:p>
        </w:tc>
      </w:tr>
      <w:tr>
        <w:trPr/>
        <w:tc>
          <w:tcPr>
            <w:tcW w:w="1280"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 </w:t>
            </w:r>
          </w:p>
        </w:tc>
        <w:tc>
          <w:tcPr>
            <w:tcW w:w="3557"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 </w:t>
            </w:r>
          </w:p>
        </w:tc>
        <w:tc>
          <w:tcPr>
            <w:tcW w:w="3557"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By:</w:t>
            </w:r>
          </w:p>
        </w:tc>
        <w:tc>
          <w:tcPr>
            <w:tcW w:w="3557" w:type="dxa"/>
            <w:tcBorders>
              <w:bottom w:val="single" w:sz="8" w:space="0" w:color="000000"/>
            </w:tcBorders>
            <w:tcMar>
              <w:bottom w:w="28" w:type="dxa"/>
            </w:tcMar>
            <w:vAlign w:val="center"/>
          </w:tcPr>
          <w:p>
            <w:pPr>
              <w:pStyle w:val="TableContents"/>
              <w:bidi w:val="0"/>
              <w:spacing w:before="0" w:after="283"/>
              <w:jc w:val="left"/>
              <w:rPr/>
            </w:pPr>
            <w:r>
              <w:rPr/>
              <w:t>/s/ Matthew Bronczyk</w:t>
            </w:r>
          </w:p>
        </w:tc>
      </w:tr>
      <w:tr>
        <w:trPr/>
        <w:tc>
          <w:tcPr>
            <w:tcW w:w="1280"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Name:</w:t>
            </w:r>
          </w:p>
        </w:tc>
        <w:tc>
          <w:tcPr>
            <w:tcW w:w="3557" w:type="dxa"/>
            <w:tcBorders/>
            <w:vAlign w:val="center"/>
          </w:tcPr>
          <w:p>
            <w:pPr>
              <w:pStyle w:val="TableContents"/>
              <w:bidi w:val="0"/>
              <w:spacing w:before="0" w:after="283"/>
              <w:jc w:val="left"/>
              <w:rPr/>
            </w:pPr>
            <w:r>
              <w:rPr/>
              <w:t>Matthew Bronczyk</w:t>
            </w:r>
          </w:p>
        </w:tc>
      </w:tr>
      <w:tr>
        <w:trPr/>
        <w:tc>
          <w:tcPr>
            <w:tcW w:w="1280"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Title:</w:t>
            </w:r>
          </w:p>
        </w:tc>
        <w:tc>
          <w:tcPr>
            <w:tcW w:w="3557" w:type="dxa"/>
            <w:tcBorders/>
            <w:vAlign w:val="center"/>
          </w:tcPr>
          <w:p>
            <w:pPr>
              <w:pStyle w:val="TableContents"/>
              <w:bidi w:val="0"/>
              <w:spacing w:before="0" w:after="283"/>
              <w:jc w:val="left"/>
              <w:rPr/>
            </w:pPr>
            <w:r>
              <w:rPr/>
              <w:t>SVP</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6505" w:type="dxa"/>
        <w:jc w:val="left"/>
        <w:tblInd w:w="0" w:type="dxa"/>
        <w:tblLayout w:type="fixed"/>
        <w:tblCellMar>
          <w:top w:w="0" w:type="dxa"/>
          <w:left w:w="0" w:type="dxa"/>
          <w:bottom w:w="0" w:type="dxa"/>
          <w:right w:w="0" w:type="dxa"/>
        </w:tblCellMar>
      </w:tblPr>
      <w:tblGrid>
        <w:gridCol w:w="1280"/>
        <w:gridCol w:w="1375"/>
        <w:gridCol w:w="3850"/>
      </w:tblGrid>
      <w:tr>
        <w:trPr/>
        <w:tc>
          <w:tcPr>
            <w:tcW w:w="1280" w:type="dxa"/>
            <w:tcBorders/>
            <w:vAlign w:val="center"/>
          </w:tcPr>
          <w:p>
            <w:pPr>
              <w:pStyle w:val="TableContents"/>
              <w:bidi w:val="0"/>
              <w:spacing w:before="0" w:after="283"/>
              <w:jc w:val="left"/>
              <w:rPr>
                <w:b/>
              </w:rPr>
            </w:pPr>
            <w:r>
              <w:rPr>
                <w:b/>
                <w:u w:val="single"/>
              </w:rPr>
              <w:t>LENDERS</w:t>
            </w:r>
            <w:r>
              <w:rPr>
                <w:b/>
              </w:rPr>
              <w:t>:</w:t>
            </w:r>
          </w:p>
        </w:tc>
        <w:tc>
          <w:tcPr>
            <w:tcW w:w="5225" w:type="dxa"/>
            <w:gridSpan w:val="2"/>
            <w:tcBorders/>
            <w:vAlign w:val="center"/>
          </w:tcPr>
          <w:p>
            <w:pPr>
              <w:pStyle w:val="TableContents"/>
              <w:bidi w:val="0"/>
              <w:spacing w:before="0" w:after="283"/>
              <w:jc w:val="left"/>
              <w:rPr/>
            </w:pPr>
            <w:r>
              <w:rPr>
                <w:b/>
              </w:rPr>
              <w:t xml:space="preserve">Fifth Third Bank, National Association, </w:t>
            </w:r>
            <w:r>
              <w:rPr/>
              <w:t>as a Lender</w:t>
            </w:r>
          </w:p>
        </w:tc>
      </w:tr>
      <w:tr>
        <w:trPr/>
        <w:tc>
          <w:tcPr>
            <w:tcW w:w="128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left"/>
              <w:rPr/>
            </w:pPr>
            <w:r>
              <w:rPr/>
              <w:t> </w:t>
            </w:r>
          </w:p>
        </w:tc>
        <w:tc>
          <w:tcPr>
            <w:tcW w:w="385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left"/>
              <w:rPr/>
            </w:pPr>
            <w:r>
              <w:rPr/>
              <w:t> </w:t>
            </w:r>
          </w:p>
        </w:tc>
        <w:tc>
          <w:tcPr>
            <w:tcW w:w="385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left"/>
              <w:rPr/>
            </w:pPr>
            <w:r>
              <w:rPr/>
              <w:t>By:</w:t>
            </w:r>
          </w:p>
        </w:tc>
        <w:tc>
          <w:tcPr>
            <w:tcW w:w="3850" w:type="dxa"/>
            <w:tcBorders>
              <w:bottom w:val="single" w:sz="8" w:space="0" w:color="000000"/>
            </w:tcBorders>
            <w:tcMar>
              <w:bottom w:w="28" w:type="dxa"/>
            </w:tcMar>
            <w:vAlign w:val="center"/>
          </w:tcPr>
          <w:p>
            <w:pPr>
              <w:pStyle w:val="TableContents"/>
              <w:bidi w:val="0"/>
              <w:spacing w:before="0" w:after="283"/>
              <w:jc w:val="left"/>
              <w:rPr/>
            </w:pPr>
            <w:r>
              <w:rPr/>
              <w:t>/s/ Andy Reidell</w:t>
            </w:r>
          </w:p>
        </w:tc>
      </w:tr>
      <w:tr>
        <w:trPr/>
        <w:tc>
          <w:tcPr>
            <w:tcW w:w="128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left"/>
              <w:rPr/>
            </w:pPr>
            <w:r>
              <w:rPr/>
              <w:t>Name:</w:t>
            </w:r>
          </w:p>
        </w:tc>
        <w:tc>
          <w:tcPr>
            <w:tcW w:w="3850" w:type="dxa"/>
            <w:tcBorders/>
            <w:vAlign w:val="center"/>
          </w:tcPr>
          <w:p>
            <w:pPr>
              <w:pStyle w:val="TableContents"/>
              <w:bidi w:val="0"/>
              <w:spacing w:before="0" w:after="283"/>
              <w:jc w:val="left"/>
              <w:rPr/>
            </w:pPr>
            <w:r>
              <w:rPr/>
              <w:t>Andy Reidell</w:t>
            </w:r>
          </w:p>
        </w:tc>
      </w:tr>
      <w:tr>
        <w:trPr/>
        <w:tc>
          <w:tcPr>
            <w:tcW w:w="128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left"/>
              <w:rPr/>
            </w:pPr>
            <w:r>
              <w:rPr/>
              <w:t>Title:</w:t>
            </w:r>
          </w:p>
        </w:tc>
        <w:tc>
          <w:tcPr>
            <w:tcW w:w="3850" w:type="dxa"/>
            <w:tcBorders/>
            <w:vAlign w:val="center"/>
          </w:tcPr>
          <w:p>
            <w:pPr>
              <w:pStyle w:val="TableContents"/>
              <w:bidi w:val="0"/>
              <w:spacing w:before="0" w:after="283"/>
              <w:jc w:val="left"/>
              <w:rPr/>
            </w:pPr>
            <w:r>
              <w:rPr/>
              <w:t>Executive Director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349" w:type="dxa"/>
        <w:jc w:val="left"/>
        <w:tblInd w:w="0" w:type="dxa"/>
        <w:tblLayout w:type="fixed"/>
        <w:tblCellMar>
          <w:top w:w="0" w:type="dxa"/>
          <w:left w:w="0" w:type="dxa"/>
          <w:bottom w:w="0" w:type="dxa"/>
          <w:right w:w="0" w:type="dxa"/>
        </w:tblCellMar>
      </w:tblPr>
      <w:tblGrid>
        <w:gridCol w:w="1280"/>
        <w:gridCol w:w="1281"/>
        <w:gridCol w:w="2788"/>
      </w:tblGrid>
      <w:tr>
        <w:trPr/>
        <w:tc>
          <w:tcPr>
            <w:tcW w:w="1280" w:type="dxa"/>
            <w:tcBorders/>
            <w:vAlign w:val="center"/>
          </w:tcPr>
          <w:p>
            <w:pPr>
              <w:pStyle w:val="TableContents"/>
              <w:bidi w:val="0"/>
              <w:spacing w:before="0" w:after="283"/>
              <w:jc w:val="left"/>
              <w:rPr>
                <w:b/>
              </w:rPr>
            </w:pPr>
            <w:r>
              <w:rPr>
                <w:b/>
                <w:u w:val="single"/>
              </w:rPr>
              <w:t>LENDERS</w:t>
            </w:r>
            <w:r>
              <w:rPr>
                <w:b/>
              </w:rPr>
              <w:t>:</w:t>
            </w:r>
          </w:p>
        </w:tc>
        <w:tc>
          <w:tcPr>
            <w:tcW w:w="4069" w:type="dxa"/>
            <w:gridSpan w:val="2"/>
            <w:tcBorders/>
            <w:vAlign w:val="center"/>
          </w:tcPr>
          <w:p>
            <w:pPr>
              <w:pStyle w:val="TableContents"/>
              <w:bidi w:val="0"/>
              <w:spacing w:before="0" w:after="283"/>
              <w:jc w:val="left"/>
              <w:rPr/>
            </w:pPr>
            <w:r>
              <w:rPr>
                <w:b/>
              </w:rPr>
              <w:t>CITY NATIONAL BANK</w:t>
            </w:r>
            <w:r>
              <w:rPr/>
              <w:t xml:space="preserve">, as a Lender </w:t>
            </w:r>
          </w:p>
        </w:tc>
      </w:tr>
      <w:tr>
        <w:trPr/>
        <w:tc>
          <w:tcPr>
            <w:tcW w:w="1280"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pPr>
            <w:r>
              <w:rPr/>
              <w:t> </w:t>
            </w:r>
          </w:p>
        </w:tc>
        <w:tc>
          <w:tcPr>
            <w:tcW w:w="2788"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pPr>
            <w:r>
              <w:rPr/>
              <w:t> </w:t>
            </w:r>
          </w:p>
        </w:tc>
        <w:tc>
          <w:tcPr>
            <w:tcW w:w="2788"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pPr>
            <w:r>
              <w:rPr/>
              <w:t>By:</w:t>
            </w:r>
          </w:p>
        </w:tc>
        <w:tc>
          <w:tcPr>
            <w:tcW w:w="2788" w:type="dxa"/>
            <w:tcBorders>
              <w:bottom w:val="single" w:sz="8" w:space="0" w:color="000000"/>
            </w:tcBorders>
            <w:tcMar>
              <w:bottom w:w="28" w:type="dxa"/>
            </w:tcMar>
            <w:vAlign w:val="center"/>
          </w:tcPr>
          <w:p>
            <w:pPr>
              <w:pStyle w:val="TableContents"/>
              <w:bidi w:val="0"/>
              <w:spacing w:before="0" w:after="283"/>
              <w:jc w:val="left"/>
              <w:rPr/>
            </w:pPr>
            <w:r>
              <w:rPr/>
              <w:t>/s/ Eric Rezai</w:t>
            </w:r>
          </w:p>
        </w:tc>
      </w:tr>
      <w:tr>
        <w:trPr/>
        <w:tc>
          <w:tcPr>
            <w:tcW w:w="1280"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pPr>
            <w:r>
              <w:rPr/>
              <w:t>Name:</w:t>
            </w:r>
          </w:p>
        </w:tc>
        <w:tc>
          <w:tcPr>
            <w:tcW w:w="2788" w:type="dxa"/>
            <w:tcBorders/>
            <w:vAlign w:val="center"/>
          </w:tcPr>
          <w:p>
            <w:pPr>
              <w:pStyle w:val="TableContents"/>
              <w:bidi w:val="0"/>
              <w:spacing w:before="0" w:after="283"/>
              <w:jc w:val="left"/>
              <w:rPr/>
            </w:pPr>
            <w:r>
              <w:rPr/>
              <w:t>Eric Rezai</w:t>
            </w:r>
          </w:p>
        </w:tc>
      </w:tr>
      <w:tr>
        <w:trPr/>
        <w:tc>
          <w:tcPr>
            <w:tcW w:w="1280"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pPr>
            <w:r>
              <w:rPr/>
              <w:t>Title:</w:t>
            </w:r>
          </w:p>
        </w:tc>
        <w:tc>
          <w:tcPr>
            <w:tcW w:w="2788" w:type="dxa"/>
            <w:tcBorders/>
            <w:vAlign w:val="center"/>
          </w:tcPr>
          <w:p>
            <w:pPr>
              <w:pStyle w:val="TableContents"/>
              <w:bidi w:val="0"/>
              <w:spacing w:before="0" w:after="283"/>
              <w:jc w:val="left"/>
              <w:rPr/>
            </w:pPr>
            <w:r>
              <w:rPr/>
              <w:t>Vice President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right"/>
        <w:rPr>
          <w:b/>
          <w:sz w:val="20"/>
        </w:rPr>
      </w:pPr>
      <w:bookmarkStart w:id="28" w:name="dp216536_ex9901.htm"/>
      <w:bookmarkStart w:id="29" w:name="ksdp216536_ex9901"/>
      <w:bookmarkEnd w:id="28"/>
      <w:bookmarkEnd w:id="29"/>
      <w:r>
        <w:rPr>
          <w:b/>
          <w:sz w:val="20"/>
        </w:rPr>
        <w:t>Exhibit 99.1</w:t>
      </w:r>
      <w:r>
        <w:br w:type="page"/>
      </w:r>
    </w:p>
    <w:p>
      <w:pPr>
        <w:pStyle w:val="TextBody"/>
        <w:bidi w:val="0"/>
        <w:jc w:val="righ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09725" cy="619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09725"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ANI Pharmaceuticals, Inc. Closes $316.25 Million Convertible Senior Notes Offering Including Full Exercise of Initial Purchasers’ Option to Purchase Additional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N.J., August 13, 2024 (GLOBE NEWSWIRE)—ANI Pharmaceuticals, Inc. (ANI or the Company) (Nasdaq: ANIP) today announced the closing of its offering of $316,250,000 aggregate principal amount of 2.25% convertible senior notes due 2029 (the “notes”) in a private offering to qualified institutional buyers pursuant to Rule 144A under the Securities Act of 1933, as amended (the “Securities Act”). In response to investor demand, ANI upsized the initial offering of $250,000,000 aggregate principal amount of notes to $275,000,000 and the initial purchasers fully exercised their option to purchase an additional $41,250,000 aggregate principal amount of the notes. The notes were issued pursuant to, and are governed by, an indenture, dated as of August 13, 2024, between the Company and U.S. Bank Trust Company, National Association, as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offering are approximately $306.8 million, after deducting the initial purchasers’ discounts and commissions but before deducting ANI’s estimated offering expenses. ANI intends to use approximately $40.6 million of the net proceeds to fund the cost of entering into the capped call transactions described below. ANI intends to use the remainder of the net proceeds from the offering, together with cash on hand, to repay in full ANI’s existing senior secured term loan facility. Substantially concurrently with repayment of the existing senior secured term loan facility, the commitments under the existing senior secured credit agreement (which includes the senior secured term loan facility and a revolving facility) were terminated and the Company entered into a new senior secured credit agreement consisting of a $325,000,000 delayed draw term loan facility and a $75,000,000 revolving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pricing of the notes and the exercise by the initial purchasers of their option to purchase additional notes, ANI entered into privately negotiated capped call transactions with certain financial institutions. The capped call transactions cover, subject to anti-dilution adjustments substantially similar to those applicable to the notes, the number of shares of ANI’s common stock underlying the notes.  The cap price of the capped call transactions is initially $114.02 per share, which represents a premium of 100% over the last reported sale price of ANI’s common stock of $57.01 per share on the date the notes offering was priced, and is subject to certain adjustments under the terms of the capped call transactions.  The capped call transactions are expected generally to reduce the potential dilution to ANI’s common stock upon any conversion of the notes and/or offset any potential cash payments ANI is required to make in excess of the principal amount of converted notes, as the case may be, upon conversion of the notes. If, however, the market price per share of ANI’s common stock, as measured under the terms of the capped call transactions, exceeds the cap price of the capped call transactions, there would nevertheless be dilution and/or there would not be an offset of such potential cash payments, in each case, to the extent that such market price exceeds the cap price of the capped call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only offered and sold to persons reasonably believed to be qualified institutional buyers pursuant to Rule 144A under the Securities Act. The offer and sale of the notes and any shares of common stock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 This press release does not constitute an offer to sell, or the solicitation of an offer to buy, the notes or any shares of common stock issuable upon conversion of the notes, nor will there be any sale of the notes or any such shares, in any state or other jurisdiction in which such offer, sale or solicitation would be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ANI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 Pharmaceuticals, Inc. (Nasdaq: ANIP) is a diversified biopharmaceutical company serving patients in need by developing, manufacturing, and marketing high-quality branded and generic prescription pharmaceutical products, including for diseases with high unmet medical need. ANI is focused on delivering sustainable growth by scaling up its Rare Disease business through its lead asset Purified Cortrophin® Gel, strengthening its Generics business with enhanced research and development capabilities, delivering innovation in Established Brands, and leveraging its U.S. based manufacturing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All statements other than statements of historical facts contained herein, including, without limitation, statements regarding the effects of entering into the capped call transactions described above, are forward-looking statements reflecting the current beliefs and expectations of management made pursuant to the safe harbor provisions of the Private Securities Litigation Reform Act of 1995. Such forward-looking statements involve known and unknown risks, uncertainties, and other important factors that may cause ANI’s actual results, performance, or achievements to be materially different from any future results, performance, or achievements expressed or implied by the forward-looking statements. Such risks and uncertainties include, among others, the risks and uncertainties related to market conditions and satisfaction of customary closing conditions related to the offering and risks relating to ANI’s business, including those described in periodic reports that ANI files from time to time with the SEC. ANI may not consummate the offering described in this press release and, if the offering is consummated, cannot provide any assurances regarding its ability to effectively apply the net proceeds as described above. Any risks and uncertainties could materially and adversely affect ANI’s results of operations, which would, in turn, have a significant and adverse impact on ANI’s stock price. Any forward-looking statements contained in this press release speak only as of the date hereof, and ANI specifically disclaims any obligation to update any forward-looking statement,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Wilson, In-Site Communications,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212-452-2793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lwilson@insitecony.com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gif"/><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180230</Words>
  <Characters>952048</Characters>
  <CharactersWithSpaces>1133475</CharactersWithSpaces>
  <Paragraphs>8589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