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44" w:after="120"/>
        <w:jc w:val="left"/>
        <w:rPr/>
      </w:pPr>
      <w:hyperlink w:anchor="i412cd1d8f763490e846cacc71565cee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tbl>
      <w:tblPr>
        <w:tblW w:w="9657" w:type="dxa"/>
        <w:jc w:val="center"/>
        <w:tblInd w:w="0" w:type="dxa"/>
        <w:tblLayout w:type="fixed"/>
        <w:tblCellMar>
          <w:top w:w="28" w:type="dxa"/>
          <w:left w:w="28" w:type="dxa"/>
          <w:bottom w:w="28" w:type="dxa"/>
          <w:right w:w="28" w:type="dxa"/>
        </w:tblCellMar>
      </w:tblPr>
      <w:tblGrid>
        <w:gridCol w:w="124"/>
        <w:gridCol w:w="109"/>
        <w:gridCol w:w="109"/>
        <w:gridCol w:w="2725"/>
        <w:gridCol w:w="2725"/>
        <w:gridCol w:w="3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QUARTERLY REPORT UNDER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9641" w:type="dxa"/>
        <w:jc w:val="center"/>
        <w:tblInd w:w="0" w:type="dxa"/>
        <w:tblLayout w:type="fixed"/>
        <w:tblCellMar>
          <w:top w:w="28" w:type="dxa"/>
          <w:left w:w="28" w:type="dxa"/>
          <w:bottom w:w="28" w:type="dxa"/>
          <w:right w:w="28" w:type="dxa"/>
        </w:tblCellMar>
      </w:tblPr>
      <w:tblGrid>
        <w:gridCol w:w="124"/>
        <w:gridCol w:w="109"/>
        <w:gridCol w:w="109"/>
        <w:gridCol w:w="2723"/>
        <w:gridCol w:w="2723"/>
        <w:gridCol w:w="3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TRANSITION REPORT UNDER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001-31812</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ANI PHARMACEUTICALS,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4" w:type="dxa"/>
        <w:jc w:val="center"/>
        <w:tblInd w:w="0" w:type="dxa"/>
        <w:tblLayout w:type="fixed"/>
        <w:tblCellMar>
          <w:top w:w="28" w:type="dxa"/>
          <w:left w:w="28" w:type="dxa"/>
          <w:bottom w:w="28" w:type="dxa"/>
          <w:right w:w="28" w:type="dxa"/>
        </w:tblCellMar>
      </w:tblPr>
      <w:tblGrid>
        <w:gridCol w:w="949"/>
        <w:gridCol w:w="834"/>
        <w:gridCol w:w="842"/>
        <w:gridCol w:w="586"/>
        <w:gridCol w:w="586"/>
        <w:gridCol w:w="837"/>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58-2301143</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xml:space="preserve">incorporation or organization)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104 Carnegie Center Drive,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Princeton, New Jersey 08540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(609) 759-1810</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12" w:type="dxa"/>
        <w:jc w:val="center"/>
        <w:tblInd w:w="0" w:type="dxa"/>
        <w:tblLayout w:type="fixed"/>
        <w:tblCellMar>
          <w:top w:w="28" w:type="dxa"/>
          <w:left w:w="28" w:type="dxa"/>
          <w:bottom w:w="28" w:type="dxa"/>
          <w:right w:w="28" w:type="dxa"/>
        </w:tblCellMar>
      </w:tblPr>
      <w:tblGrid>
        <w:gridCol w:w="607"/>
        <w:gridCol w:w="533"/>
        <w:gridCol w:w="540"/>
        <w:gridCol w:w="109"/>
        <w:gridCol w:w="109"/>
        <w:gridCol w:w="109"/>
        <w:gridCol w:w="564"/>
        <w:gridCol w:w="564"/>
        <w:gridCol w:w="566"/>
        <w:gridCol w:w="109"/>
        <w:gridCol w:w="109"/>
        <w:gridCol w:w="109"/>
        <w:gridCol w:w="1135"/>
        <w:gridCol w:w="1135"/>
        <w:gridCol w:w="161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July 31, 2026,</w:t>
      </w:r>
      <w:r>
        <w:rPr>
          <w:color w:val="000000"/>
        </w:rPr>
        <w:t xml:space="preserve"> </w:t>
      </w:r>
      <w:r>
        <w:rPr>
          <w:rFonts w:ascii="Times New Roman;serif" w:hAnsi="Times New Roman;serif"/>
          <w:b w:val="false"/>
          <w:color w:val="000000"/>
          <w:sz w:val="20"/>
        </w:rPr>
        <w:t xml:space="preserve">there were </w:t>
      </w:r>
      <w:r>
        <w:rPr>
          <w:rFonts w:ascii="Times New Roman;serif" w:hAnsi="Times New Roman;serif"/>
          <w:b w:val="false"/>
          <w:color w:val="000000"/>
          <w:sz w:val="20"/>
          <w:shd w:fill="FFFFFF" w:val="clear"/>
        </w:rPr>
        <w:t>22,959,488</w:t>
      </w:r>
      <w:r>
        <w:rPr>
          <w:color w:val="000000"/>
        </w:rPr>
        <w:t xml:space="preserve"> </w:t>
      </w:r>
      <w:r>
        <w:rPr>
          <w:rFonts w:ascii="Times New Roman;serif" w:hAnsi="Times New Roman;serif"/>
          <w:b w:val="false"/>
          <w:color w:val="000000"/>
          <w:sz w:val="20"/>
        </w:rPr>
        <w:t>shares of common stock and 10,864 shares of class C special stock of the registrant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144" w:after="120"/>
        <w:jc w:val="left"/>
        <w:rPr/>
      </w:pPr>
      <w:hyperlink w:anchor="i412cd1d8f763490e846cacc71565ce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10205" w:type="dxa"/>
        <w:jc w:val="left"/>
        <w:tblInd w:w="0" w:type="dxa"/>
        <w:tblLayout w:type="fixed"/>
        <w:tblCellMar>
          <w:top w:w="28" w:type="dxa"/>
          <w:left w:w="28" w:type="dxa"/>
          <w:bottom w:w="28" w:type="dxa"/>
          <w:right w:w="28" w:type="dxa"/>
        </w:tblCellMar>
      </w:tblPr>
      <w:tblGrid>
        <w:gridCol w:w="576"/>
        <w:gridCol w:w="428"/>
        <w:gridCol w:w="428"/>
        <w:gridCol w:w="2858"/>
        <w:gridCol w:w="2670"/>
        <w:gridCol w:w="2672"/>
        <w:gridCol w:w="167"/>
        <w:gridCol w:w="167"/>
        <w:gridCol w:w="239"/>
      </w:tblGrid>
      <w:tr>
        <w:trPr/>
        <w:tc>
          <w:tcPr>
            <w:tcW w:w="5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
              <w:r>
                <w:rPr>
                  <w:rStyle w:val="InternetLink"/>
                  <w:rFonts w:ascii="Times New Roman;serif" w:hAnsi="Times New Roman;serif"/>
                  <w:b/>
                  <w:color w:val="0000FF"/>
                  <w:sz w:val="20"/>
                  <w:u w:val="single"/>
                </w:rPr>
                <w:t>PART I — FINANCIAL INFORMATION</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6">
              <w:r>
                <w:rPr>
                  <w:rStyle w:val="InternetLink"/>
                  <w:rFonts w:ascii="Times New Roman;serif" w:hAnsi="Times New Roman;serif"/>
                  <w:b w:val="false"/>
                  <w:color w:val="0000FF"/>
                  <w:sz w:val="20"/>
                  <w:u w:val="single"/>
                </w:rPr>
                <w:t>Item 1.</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6">
              <w:r>
                <w:rPr>
                  <w:rStyle w:val="InternetLink"/>
                  <w:rFonts w:ascii="Times New Roman;serif" w:hAnsi="Times New Roman;serif"/>
                  <w:b w:val="false"/>
                  <w:color w:val="0000FF"/>
                  <w:sz w:val="20"/>
                  <w:u w:val="single"/>
                </w:rPr>
                <w:t>Condensed Consolidated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6">
              <w:r>
                <w:rPr>
                  <w:rStyle w:val="InternetLink"/>
                  <w:rFonts w:ascii="Times New Roman;serif" w:hAnsi="Times New Roman;serif"/>
                  <w:b w:val="false"/>
                  <w:strike w:val="false"/>
                  <w:dstrike w:val="false"/>
                  <w:color w:val="000000"/>
                  <w:sz w:val="20"/>
                  <w:u w:val="none"/>
                  <w:effect w:val="none"/>
                </w:rPr>
                <w:t>4</w:t>
              </w:r>
            </w:hyperlink>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9">
              <w:r>
                <w:rPr>
                  <w:rStyle w:val="InternetLink"/>
                  <w:rFonts w:ascii="Times New Roman;serif" w:hAnsi="Times New Roman;serif"/>
                  <w:b w:val="false"/>
                  <w:color w:val="000080"/>
                  <w:sz w:val="20"/>
                  <w:u w:val="single"/>
                </w:rPr>
                <w:t xml:space="preserve">Condensed Consolidated Balance Sheets (unaudited) — As of </w:t>
              </w:r>
            </w:hyperlink>
            <w:hyperlink w:anchor="i412cd1d8f763490e846cacc71565cee0_19">
              <w:r>
                <w:rPr>
                  <w:rStyle w:val="InternetLink"/>
                  <w:rFonts w:ascii="Times New Roman;serif" w:hAnsi="Times New Roman;serif"/>
                  <w:b w:val="false"/>
                  <w:color w:val="000080"/>
                  <w:sz w:val="20"/>
                  <w:u w:val="single"/>
                </w:rPr>
                <w:t>Jun</w:t>
              </w:r>
            </w:hyperlink>
            <w:hyperlink w:anchor="i412cd1d8f763490e846cacc71565cee0_19">
              <w:r>
                <w:rPr>
                  <w:rStyle w:val="InternetLink"/>
                  <w:rFonts w:ascii="Times New Roman;serif" w:hAnsi="Times New Roman;serif"/>
                  <w:b w:val="false"/>
                  <w:color w:val="000080"/>
                  <w:sz w:val="20"/>
                  <w:u w:val="single"/>
                </w:rPr>
                <w:t>e</w:t>
              </w:r>
            </w:hyperlink>
            <w:hyperlink w:anchor="i412cd1d8f763490e846cacc71565cee0_19">
              <w:r>
                <w:rPr>
                  <w:rStyle w:val="InternetLink"/>
                  <w:rFonts w:ascii="Times New Roman;serif" w:hAnsi="Times New Roman;serif"/>
                  <w:b w:val="false"/>
                  <w:color w:val="000080"/>
                  <w:sz w:val="20"/>
                  <w:u w:val="single"/>
                </w:rPr>
                <w:t xml:space="preserve"> 30</w:t>
              </w:r>
            </w:hyperlink>
            <w:hyperlink w:anchor="i412cd1d8f763490e846cacc71565cee0_19">
              <w:r>
                <w:rPr>
                  <w:rStyle w:val="InternetLink"/>
                  <w:rFonts w:ascii="Times New Roman;serif" w:hAnsi="Times New Roman;serif"/>
                  <w:b w:val="false"/>
                  <w:color w:val="000080"/>
                  <w:sz w:val="20"/>
                  <w:u w:val="single"/>
                </w:rPr>
                <w:t>, 2026 and 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9">
              <w:r>
                <w:rPr>
                  <w:rStyle w:val="InternetLink"/>
                  <w:rFonts w:ascii="Times New Roman;serif" w:hAnsi="Times New Roman;serif"/>
                  <w:b w:val="false"/>
                  <w:strike w:val="false"/>
                  <w:dstrike w:val="false"/>
                  <w:color w:val="000000"/>
                  <w:sz w:val="20"/>
                  <w:u w:val="none"/>
                  <w:effect w:val="none"/>
                </w:rPr>
                <w:t>5</w:t>
              </w:r>
            </w:hyperlink>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22">
              <w:r>
                <w:rPr>
                  <w:rStyle w:val="InternetLink"/>
                  <w:rFonts w:ascii="Times New Roman;serif" w:hAnsi="Times New Roman;serif"/>
                  <w:b w:val="false"/>
                  <w:color w:val="0000FF"/>
                  <w:sz w:val="20"/>
                  <w:u w:val="single"/>
                </w:rPr>
                <w:t>Condensed Consolidated Statements of Operations (unaudited) — For the Three and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22">
              <w:r>
                <w:rPr>
                  <w:rStyle w:val="InternetLink"/>
                  <w:rFonts w:ascii="Times New Roman;serif" w:hAnsi="Times New Roman;serif"/>
                  <w:b w:val="false"/>
                  <w:strike w:val="false"/>
                  <w:dstrike w:val="false"/>
                  <w:color w:val="000000"/>
                  <w:sz w:val="20"/>
                  <w:u w:val="none"/>
                  <w:effect w:val="none"/>
                </w:rPr>
                <w:t>6</w:t>
              </w:r>
            </w:hyperlink>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25">
              <w:r>
                <w:rPr>
                  <w:rStyle w:val="InternetLink"/>
                  <w:rFonts w:ascii="Times New Roman;serif" w:hAnsi="Times New Roman;serif"/>
                  <w:b w:val="false"/>
                  <w:color w:val="0000FF"/>
                  <w:sz w:val="20"/>
                  <w:u w:val="single"/>
                </w:rPr>
                <w:t>Condensed Consolidated Statements of Comprehensive Income (unaudited) — For the Three and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25">
              <w:r>
                <w:rPr>
                  <w:rStyle w:val="InternetLink"/>
                  <w:rFonts w:ascii="Times New Roman;serif" w:hAnsi="Times New Roman;serif"/>
                  <w:b w:val="false"/>
                  <w:strike w:val="false"/>
                  <w:dstrike w:val="false"/>
                  <w:color w:val="000000"/>
                  <w:sz w:val="20"/>
                  <w:u w:val="none"/>
                  <w:effect w:val="none"/>
                </w:rPr>
                <w:t>7</w:t>
              </w:r>
            </w:hyperlink>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28">
              <w:r>
                <w:rPr>
                  <w:rStyle w:val="InternetLink"/>
                  <w:rFonts w:ascii="Times New Roman;serif" w:hAnsi="Times New Roman;serif"/>
                  <w:b w:val="false"/>
                  <w:color w:val="000080"/>
                  <w:sz w:val="20"/>
                  <w:u w:val="single"/>
                </w:rPr>
                <w:t>Condensed Consolidated Statements of Changes in Mezzanine Equity and Stockholders’ Equity (unaudited) — For the Three</w:t>
              </w:r>
            </w:hyperlink>
            <w:hyperlink w:anchor="i412cd1d8f763490e846cacc71565cee0_28">
              <w:r>
                <w:rPr>
                  <w:rStyle w:val="InternetLink"/>
                  <w:rFonts w:ascii="Times New Roman;serif" w:hAnsi="Times New Roman;serif"/>
                  <w:b w:val="false"/>
                  <w:color w:val="000080"/>
                  <w:sz w:val="20"/>
                  <w:u w:val="single"/>
                </w:rPr>
                <w:t xml:space="preserve"> and Six</w:t>
              </w:r>
            </w:hyperlink>
            <w:hyperlink w:anchor="i412cd1d8f763490e846cacc71565cee0_28">
              <w:r>
                <w:rPr>
                  <w:rStyle w:val="InternetLink"/>
                  <w:rFonts w:ascii="Times New Roman;serif" w:hAnsi="Times New Roman;serif"/>
                  <w:b w:val="false"/>
                  <w:color w:val="000080"/>
                  <w:sz w:val="20"/>
                  <w:u w:val="single"/>
                </w:rPr>
                <w:t xml:space="preserve"> Months Ended </w:t>
              </w:r>
            </w:hyperlink>
            <w:hyperlink w:anchor="i412cd1d8f763490e846cacc71565cee0_28">
              <w:r>
                <w:rPr>
                  <w:rStyle w:val="InternetLink"/>
                  <w:rFonts w:ascii="Times New Roman;serif" w:hAnsi="Times New Roman;serif"/>
                  <w:b w:val="false"/>
                  <w:color w:val="000080"/>
                  <w:sz w:val="20"/>
                  <w:u w:val="single"/>
                </w:rPr>
                <w:t>Jun</w:t>
              </w:r>
            </w:hyperlink>
            <w:hyperlink w:anchor="i412cd1d8f763490e846cacc71565cee0_28">
              <w:r>
                <w:rPr>
                  <w:rStyle w:val="InternetLink"/>
                  <w:rFonts w:ascii="Times New Roman;serif" w:hAnsi="Times New Roman;serif"/>
                  <w:b w:val="false"/>
                  <w:color w:val="000080"/>
                  <w:sz w:val="20"/>
                  <w:u w:val="single"/>
                </w:rPr>
                <w:t xml:space="preserve">e </w:t>
              </w:r>
            </w:hyperlink>
            <w:hyperlink w:anchor="i412cd1d8f763490e846cacc71565cee0_28">
              <w:r>
                <w:rPr>
                  <w:rStyle w:val="InternetLink"/>
                  <w:rFonts w:ascii="Times New Roman;serif" w:hAnsi="Times New Roman;serif"/>
                  <w:b w:val="false"/>
                  <w:color w:val="000080"/>
                  <w:sz w:val="20"/>
                  <w:u w:val="single"/>
                </w:rPr>
                <w:t>30</w:t>
              </w:r>
            </w:hyperlink>
            <w:hyperlink w:anchor="i412cd1d8f763490e846cacc71565cee0_28">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28">
              <w:r>
                <w:rPr>
                  <w:rStyle w:val="InternetLink"/>
                  <w:rFonts w:ascii="Times New Roman;serif" w:hAnsi="Times New Roman;serif"/>
                  <w:b w:val="false"/>
                  <w:strike w:val="false"/>
                  <w:dstrike w:val="false"/>
                  <w:color w:val="000000"/>
                  <w:sz w:val="20"/>
                  <w:u w:val="none"/>
                  <w:effect w:val="none"/>
                </w:rPr>
                <w:t>8</w:t>
              </w:r>
            </w:hyperlink>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31">
              <w:r>
                <w:rPr>
                  <w:rStyle w:val="InternetLink"/>
                  <w:rFonts w:ascii="Times New Roman;serif" w:hAnsi="Times New Roman;serif"/>
                  <w:b w:val="false"/>
                  <w:color w:val="0000FF"/>
                  <w:sz w:val="20"/>
                  <w:u w:val="single"/>
                </w:rPr>
                <w:t>Condensed Consolidated Statements of Cash Flows (unaudited) — For the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31">
              <w:r>
                <w:rPr>
                  <w:rStyle w:val="InternetLink"/>
                  <w:rFonts w:ascii="Times New Roman;serif" w:hAnsi="Times New Roman;serif"/>
                  <w:b w:val="false"/>
                  <w:strike w:val="false"/>
                  <w:dstrike w:val="false"/>
                  <w:color w:val="000000"/>
                  <w:sz w:val="20"/>
                  <w:u w:val="none"/>
                  <w:effect w:val="none"/>
                </w:rPr>
                <w:t>10</w:t>
              </w:r>
            </w:hyperlink>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34">
              <w:r>
                <w:rPr>
                  <w:rStyle w:val="InternetLink"/>
                  <w:rFonts w:ascii="Times New Roman;serif" w:hAnsi="Times New Roman;serif"/>
                  <w:b w:val="false"/>
                  <w:color w:val="0000FF"/>
                  <w:sz w:val="20"/>
                  <w:u w:val="single"/>
                </w:rPr>
                <w:t>Notes to Condensed Consolidated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34">
              <w:r>
                <w:rPr>
                  <w:rStyle w:val="InternetLink"/>
                  <w:rFonts w:ascii="Times New Roman;serif" w:hAnsi="Times New Roman;serif"/>
                  <w:b w:val="false"/>
                  <w:strike w:val="false"/>
                  <w:dstrike w:val="false"/>
                  <w:color w:val="000000"/>
                  <w:sz w:val="20"/>
                  <w:u w:val="none"/>
                  <w:effect w:val="none"/>
                </w:rPr>
                <w:t>11</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91">
              <w:r>
                <w:rPr>
                  <w:rStyle w:val="InternetLink"/>
                  <w:rFonts w:ascii="Times New Roman;serif" w:hAnsi="Times New Roman;serif"/>
                  <w:b w:val="false"/>
                  <w:color w:val="0000FF"/>
                  <w:sz w:val="20"/>
                  <w:u w:val="single"/>
                </w:rPr>
                <w:t>Item 2.</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91">
              <w:r>
                <w:rPr>
                  <w:rStyle w:val="InternetLink"/>
                  <w:rFonts w:ascii="Times New Roman;serif" w:hAnsi="Times New Roman;serif"/>
                  <w:b w:val="false"/>
                  <w:strike w:val="false"/>
                  <w:dstrike w:val="false"/>
                  <w:color w:val="000000"/>
                  <w:sz w:val="20"/>
                  <w:u w:val="none"/>
                  <w:effect w:val="none"/>
                </w:rPr>
                <w:t>35</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09">
              <w:r>
                <w:rPr>
                  <w:rStyle w:val="InternetLink"/>
                  <w:rFonts w:ascii="Times New Roman;serif" w:hAnsi="Times New Roman;serif"/>
                  <w:b w:val="false"/>
                  <w:color w:val="0000FF"/>
                  <w:sz w:val="20"/>
                  <w:u w:val="single"/>
                </w:rPr>
                <w:t>Item 3.</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09">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09">
              <w:r>
                <w:rPr>
                  <w:rStyle w:val="InternetLink"/>
                  <w:rFonts w:ascii="Times New Roman;serif" w:hAnsi="Times New Roman;serif"/>
                  <w:b w:val="false"/>
                  <w:strike w:val="false"/>
                  <w:dstrike w:val="false"/>
                  <w:color w:val="000000"/>
                  <w:sz w:val="20"/>
                  <w:u w:val="none"/>
                  <w:effect w:val="none"/>
                </w:rPr>
                <w:t>46</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12">
              <w:r>
                <w:rPr>
                  <w:rStyle w:val="InternetLink"/>
                  <w:rFonts w:ascii="Times New Roman;serif" w:hAnsi="Times New Roman;serif"/>
                  <w:b w:val="false"/>
                  <w:color w:val="0000FF"/>
                  <w:sz w:val="20"/>
                  <w:u w:val="single"/>
                </w:rPr>
                <w:t>Item 4.</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12">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12">
              <w:r>
                <w:rPr>
                  <w:rStyle w:val="InternetLink"/>
                  <w:rFonts w:ascii="Times New Roman;serif" w:hAnsi="Times New Roman;serif"/>
                  <w:b w:val="false"/>
                  <w:strike w:val="false"/>
                  <w:dstrike w:val="false"/>
                  <w:color w:val="000000"/>
                  <w:sz w:val="20"/>
                  <w:u w:val="none"/>
                  <w:effect w:val="none"/>
                </w:rPr>
                <w:t>47</w:t>
              </w:r>
            </w:hyperlink>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15">
              <w:r>
                <w:rPr>
                  <w:rStyle w:val="InternetLink"/>
                  <w:rFonts w:ascii="Times New Roman;serif" w:hAnsi="Times New Roman;serif"/>
                  <w:b/>
                  <w:color w:val="0000FF"/>
                  <w:sz w:val="20"/>
                  <w:u w:val="single"/>
                </w:rPr>
                <w:t>PART II — OTHER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18">
              <w:r>
                <w:rPr>
                  <w:rStyle w:val="InternetLink"/>
                  <w:rFonts w:ascii="Times New Roman;serif" w:hAnsi="Times New Roman;serif"/>
                  <w:b w:val="false"/>
                  <w:color w:val="0000FF"/>
                  <w:sz w:val="20"/>
                  <w:u w:val="single"/>
                </w:rPr>
                <w:t>Item 1.</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18">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18">
              <w:r>
                <w:rPr>
                  <w:rStyle w:val="InternetLink"/>
                  <w:rFonts w:ascii="Times New Roman;serif" w:hAnsi="Times New Roman;serif"/>
                  <w:b w:val="false"/>
                  <w:strike w:val="false"/>
                  <w:dstrike w:val="false"/>
                  <w:color w:val="000000"/>
                  <w:sz w:val="20"/>
                  <w:u w:val="none"/>
                  <w:effect w:val="none"/>
                </w:rPr>
                <w:t>47</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21">
              <w:r>
                <w:rPr>
                  <w:rStyle w:val="InternetLink"/>
                  <w:rFonts w:ascii="Times New Roman;serif" w:hAnsi="Times New Roman;serif"/>
                  <w:b w:val="false"/>
                  <w:color w:val="0000FF"/>
                  <w:sz w:val="20"/>
                  <w:u w:val="single"/>
                </w:rPr>
                <w:t>Item 1A.</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21">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21">
              <w:r>
                <w:rPr>
                  <w:rStyle w:val="InternetLink"/>
                  <w:rFonts w:ascii="Times New Roman;serif" w:hAnsi="Times New Roman;serif"/>
                  <w:b w:val="false"/>
                  <w:strike w:val="false"/>
                  <w:dstrike w:val="false"/>
                  <w:color w:val="000000"/>
                  <w:sz w:val="20"/>
                  <w:u w:val="none"/>
                  <w:effect w:val="none"/>
                </w:rPr>
                <w:t>47</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24">
              <w:r>
                <w:rPr>
                  <w:rStyle w:val="InternetLink"/>
                  <w:rFonts w:ascii="Times New Roman;serif" w:hAnsi="Times New Roman;serif"/>
                  <w:b w:val="false"/>
                  <w:color w:val="0000FF"/>
                  <w:sz w:val="20"/>
                  <w:u w:val="single"/>
                </w:rPr>
                <w:t>Item 2.</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24">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24">
              <w:r>
                <w:rPr>
                  <w:rStyle w:val="InternetLink"/>
                  <w:rFonts w:ascii="Times New Roman;serif" w:hAnsi="Times New Roman;serif"/>
                  <w:b w:val="false"/>
                  <w:strike w:val="false"/>
                  <w:dstrike w:val="false"/>
                  <w:color w:val="000000"/>
                  <w:sz w:val="20"/>
                  <w:u w:val="none"/>
                  <w:effect w:val="none"/>
                </w:rPr>
                <w:t>47</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27">
              <w:r>
                <w:rPr>
                  <w:rStyle w:val="InternetLink"/>
                  <w:rFonts w:ascii="Times New Roman;serif" w:hAnsi="Times New Roman;serif"/>
                  <w:b w:val="false"/>
                  <w:color w:val="0000FF"/>
                  <w:sz w:val="20"/>
                  <w:u w:val="single"/>
                </w:rPr>
                <w:t>Item 3.</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27">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27">
              <w:r>
                <w:rPr>
                  <w:rStyle w:val="InternetLink"/>
                  <w:rFonts w:ascii="Times New Roman;serif" w:hAnsi="Times New Roman;serif"/>
                  <w:b w:val="false"/>
                  <w:strike w:val="false"/>
                  <w:dstrike w:val="false"/>
                  <w:color w:val="000000"/>
                  <w:sz w:val="20"/>
                  <w:u w:val="none"/>
                  <w:effect w:val="none"/>
                </w:rPr>
                <w:t>48</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0">
              <w:r>
                <w:rPr>
                  <w:rStyle w:val="InternetLink"/>
                  <w:rFonts w:ascii="Times New Roman;serif" w:hAnsi="Times New Roman;serif"/>
                  <w:b w:val="false"/>
                  <w:color w:val="0000FF"/>
                  <w:sz w:val="20"/>
                  <w:u w:val="single"/>
                </w:rPr>
                <w:t>Item 4.</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0">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30">
              <w:r>
                <w:rPr>
                  <w:rStyle w:val="InternetLink"/>
                  <w:rFonts w:ascii="Times New Roman;serif" w:hAnsi="Times New Roman;serif"/>
                  <w:b w:val="false"/>
                  <w:strike w:val="false"/>
                  <w:dstrike w:val="false"/>
                  <w:color w:val="000000"/>
                  <w:sz w:val="20"/>
                  <w:u w:val="none"/>
                  <w:effect w:val="none"/>
                </w:rPr>
                <w:t>48</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3">
              <w:r>
                <w:rPr>
                  <w:rStyle w:val="InternetLink"/>
                  <w:rFonts w:ascii="Times New Roman;serif" w:hAnsi="Times New Roman;serif"/>
                  <w:b w:val="false"/>
                  <w:color w:val="0000FF"/>
                  <w:sz w:val="20"/>
                  <w:u w:val="single"/>
                </w:rPr>
                <w:t>Item 5.</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3">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33">
              <w:r>
                <w:rPr>
                  <w:rStyle w:val="InternetLink"/>
                  <w:rFonts w:ascii="Times New Roman;serif" w:hAnsi="Times New Roman;serif"/>
                  <w:b w:val="false"/>
                  <w:strike w:val="false"/>
                  <w:dstrike w:val="false"/>
                  <w:color w:val="000000"/>
                  <w:sz w:val="20"/>
                  <w:u w:val="none"/>
                  <w:effect w:val="none"/>
                </w:rPr>
                <w:t>48</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9">
              <w:r>
                <w:rPr>
                  <w:rStyle w:val="InternetLink"/>
                  <w:rFonts w:ascii="Times New Roman;serif" w:hAnsi="Times New Roman;serif"/>
                  <w:b w:val="false"/>
                  <w:color w:val="0000FF"/>
                  <w:sz w:val="20"/>
                  <w:u w:val="single"/>
                </w:rPr>
                <w:t>Item 6.</w:t>
              </w:r>
            </w:hyperlink>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39">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39">
              <w:r>
                <w:rPr>
                  <w:rStyle w:val="InternetLink"/>
                  <w:rFonts w:ascii="Times New Roman;serif" w:hAnsi="Times New Roman;serif"/>
                  <w:b w:val="false"/>
                  <w:strike w:val="false"/>
                  <w:dstrike w:val="false"/>
                  <w:color w:val="000000"/>
                  <w:sz w:val="20"/>
                  <w:u w:val="none"/>
                  <w:effect w:val="none"/>
                </w:rPr>
                <w:t>48</w:t>
              </w:r>
            </w:hyperlink>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2cd1d8f763490e846cacc71565cee0_142">
              <w:r>
                <w:rPr>
                  <w:rStyle w:val="InternetLink"/>
                  <w:rFonts w:ascii="Times New Roman;serif" w:hAnsi="Times New Roman;serif"/>
                  <w:b w:val="false"/>
                  <w:color w:val="0000FF"/>
                  <w:sz w:val="20"/>
                  <w:u w:val="single"/>
                </w:rPr>
                <w:t>Signatures</w:t>
              </w:r>
            </w:hyperlink>
          </w:p>
        </w:tc>
        <w:tc>
          <w:tcPr>
            <w:tcW w:w="8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cd1d8f763490e846cacc71565cee0_142">
              <w:r>
                <w:rPr>
                  <w:rStyle w:val="InternetLink"/>
                  <w:rFonts w:ascii="Times New Roman;serif" w:hAnsi="Times New Roman;serif"/>
                  <w:b w:val="false"/>
                  <w:strike w:val="false"/>
                  <w:dstrike w:val="false"/>
                  <w:color w:val="000000"/>
                  <w:sz w:val="20"/>
                  <w:u w:val="none"/>
                  <w:effect w:val="none"/>
                </w:rPr>
                <w:t>50</w:t>
              </w:r>
            </w:hyperlink>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44" w:after="120"/>
        <w:jc w:val="left"/>
        <w:rPr/>
      </w:pPr>
      <w:hyperlink w:anchor="i412cd1d8f763490e846cacc71565ce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and certain information incorporated herein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are forward-looking statements. In some cases, you can identify forward-looking statements by terms such as “anticipates,” “may,” “might,” “will,” “should,” “could,” “expects,” “estimates,” “forecasts,” “plans,” “potential,” “future,” “believes,” “intends,” “continue,” “seeks,” and “targets,” and other words of similar meaning, derivations of such words, and the use of future dates. Such forward-looking statements include, but are not limited to, statements concerning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planned future operations, strategies and growth potential;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financial performance, including our estimates of our expenses and capital requirements, and our expectations regarding our revenue potential (including revenue from licensing, royalties and sales) of our products;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expectations regarding the sufficiency of our cash and other financial resources, our liquidity, and our ability to fund our operations, satisfy our debt obligations, and, if necessary, obtain additional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development pipeline, including the structure, focus, success, cost and timing of our development activities, including nonclinical studies and clinical trials, and the reporting of data from those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expected timeframes for the submission of new drug applications, abbreviated new drug applications, or supplemental new drug applications to the U.S. Food and Drug Administration (the “FDA”);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regarding the size of patient populations, market acceptance and clinical utility of our products and product candidates, if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manufacturing capabilities and our ability to comply with significant regulations with respect to the manufacture of our products or, where applicable, our reliance on third parties to do the same;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supply chain and inventory expectations, and our and our partners’ ability to meet anticipated demand;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selling and marketing strategies and associated costs to support the sales of our branded products, including Purified Cortrophin® Gel (Repository Corticotropin Injection USP) (“Cortrophin Gel”) and ILUVIEN® (“ILUVIEN”);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strategic initiatives, including acquisitions, strategic alliances and collaborations, and our ability to realize the intended benefits of such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and uncertainties regarding future pricing, coverage and reimbursement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new or modified laws or regulations, and the application or implementation thereof, including the One Big Beautiful Bill Act, and tax, healthcare and pharmaceutical laws and regulations in the U.S. and foreign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obtain, protect and enforce our intellectual property;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industry, geopolitical and market conditions, such as military conflict or war, inflation and financial institution instability, or the impact of global pandemics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in this Quarterly Report on Form 10-Q are based on the reasonable beliefs of our management as well as assumptions made by and information currently available to our management. Forward-looking statements are inherently subject to known and unknown risks, uncertainties and other factors, some of which cannot be predicted or quantified, that may cause our actual results, performance or achievements to be materially different from any future results, performance or achievements expressed or implied by these forward-looking statements. Factors that might cause such a difference include, but are not limited to, those discussed under Part I, Item 1A, “Risk Factors” in our Annual Report on Form 10-K for the fiscal year ended December 31, 2025, as filed with the United States (“U.S.”) Securities and Exchange Commission (the “SEC”) on February 27, 2026 and elsewhere in this Quarterly Report on Form 10-Q.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investor relations website as a distribution channel of material company information. Financial and other important information regarding the Company is routinely posted on and accessible through our investor relations website. We encourage investors and others interested in our Company to review the information we post on our investor relations website in addition to our filings with the SEC, press releases, public conference calls and webcasts. Information contained on the Company’s website is not included as part of, or incorporated by reference into,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144" w:after="120"/>
        <w:jc w:val="left"/>
        <w:rPr/>
      </w:pPr>
      <w:hyperlink w:anchor="i412cd1d8f763490e846cacc71565ce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1"/>
        <w:gridCol w:w="2328"/>
        <w:gridCol w:w="2311"/>
        <w:gridCol w:w="196"/>
        <w:gridCol w:w="871"/>
        <w:gridCol w:w="109"/>
        <w:gridCol w:w="109"/>
        <w:gridCol w:w="109"/>
        <w:gridCol w:w="109"/>
        <w:gridCol w:w="196"/>
        <w:gridCol w:w="871"/>
        <w:gridCol w:w="155"/>
      </w:tblGrid>
      <w:tr>
        <w:trPr/>
        <w:tc>
          <w:tcPr>
            <w:tcW w:w="284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cash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equity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753,117 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tax assets,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1,440,377 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royalties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government rebates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Returned goods reserve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899,653 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12)</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66,000,000 shares authorized; 23,853,338 shares issued and 22,961,423 shares outstanding at June 30, 2026; 23,112,577 shares issued and 22,491,281 shares outstanding at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C Special Stock, $0.0001 par value, 781,281 shares authorized; 10,864 shares issued and outstanding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1,666,667 shares authorized; 0 shares issued and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891,915 shares of common stock, at cost, at June 30, 2026 and 621,296 shares of common stock, at cost,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1,440,377 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85"/>
        <w:gridCol w:w="1445"/>
        <w:gridCol w:w="1460"/>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8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(loss) on investment in equity securities </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Convertible Preferred Stock</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Income Per Share: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1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w:t>
            </w:r>
          </w:p>
        </w:tc>
      </w:tr>
    </w:tbl>
    <w:p>
      <w:pPr>
        <w:pStyle w:val="TextBody"/>
        <w:bidi w:val="0"/>
        <w:spacing w:lineRule="auto" w:line="288" w:before="20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8913" w:type="dxa"/>
        <w:jc w:val="center"/>
        <w:tblInd w:w="0" w:type="dxa"/>
        <w:tblLayout w:type="fixed"/>
        <w:tblCellMar>
          <w:top w:w="28" w:type="dxa"/>
          <w:left w:w="28" w:type="dxa"/>
          <w:bottom w:w="28" w:type="dxa"/>
          <w:right w:w="28" w:type="dxa"/>
        </w:tblCellMar>
      </w:tblPr>
      <w:tblGrid>
        <w:gridCol w:w="1270"/>
        <w:gridCol w:w="1114"/>
        <w:gridCol w:w="1125"/>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 of tax</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Equity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3499" w:type="dxa"/>
        <w:jc w:val="center"/>
        <w:tblInd w:w="0" w:type="dxa"/>
        <w:tblLayout w:type="fixed"/>
        <w:tblCellMar>
          <w:top w:w="28" w:type="dxa"/>
          <w:left w:w="28" w:type="dxa"/>
          <w:bottom w:w="28" w:type="dxa"/>
          <w:right w:w="28" w:type="dxa"/>
        </w:tblCellMar>
      </w:tblPr>
      <w:tblGrid>
        <w:gridCol w:w="612"/>
        <w:gridCol w:w="216"/>
        <w:gridCol w:w="193"/>
        <w:gridCol w:w="181"/>
        <w:gridCol w:w="541"/>
        <w:gridCol w:w="109"/>
        <w:gridCol w:w="109"/>
        <w:gridCol w:w="109"/>
        <w:gridCol w:w="109"/>
        <w:gridCol w:w="270"/>
        <w:gridCol w:w="270"/>
        <w:gridCol w:w="271"/>
        <w:gridCol w:w="109"/>
        <w:gridCol w:w="109"/>
        <w:gridCol w:w="109"/>
        <w:gridCol w:w="109"/>
        <w:gridCol w:w="109"/>
        <w:gridCol w:w="109"/>
        <w:gridCol w:w="227"/>
        <w:gridCol w:w="265"/>
        <w:gridCol w:w="139"/>
        <w:gridCol w:w="109"/>
        <w:gridCol w:w="109"/>
        <w:gridCol w:w="109"/>
        <w:gridCol w:w="210"/>
        <w:gridCol w:w="210"/>
        <w:gridCol w:w="211"/>
        <w:gridCol w:w="109"/>
        <w:gridCol w:w="109"/>
        <w:gridCol w:w="109"/>
        <w:gridCol w:w="181"/>
        <w:gridCol w:w="406"/>
        <w:gridCol w:w="109"/>
        <w:gridCol w:w="109"/>
        <w:gridCol w:w="109"/>
        <w:gridCol w:w="109"/>
        <w:gridCol w:w="181"/>
        <w:gridCol w:w="616"/>
        <w:gridCol w:w="109"/>
        <w:gridCol w:w="109"/>
        <w:gridCol w:w="109"/>
        <w:gridCol w:w="109"/>
        <w:gridCol w:w="220"/>
        <w:gridCol w:w="220"/>
        <w:gridCol w:w="221"/>
        <w:gridCol w:w="109"/>
        <w:gridCol w:w="109"/>
        <w:gridCol w:w="109"/>
        <w:gridCol w:w="181"/>
        <w:gridCol w:w="556"/>
        <w:gridCol w:w="109"/>
        <w:gridCol w:w="109"/>
        <w:gridCol w:w="109"/>
        <w:gridCol w:w="109"/>
        <w:gridCol w:w="244"/>
        <w:gridCol w:w="629"/>
        <w:gridCol w:w="148"/>
        <w:gridCol w:w="109"/>
        <w:gridCol w:w="109"/>
        <w:gridCol w:w="109"/>
        <w:gridCol w:w="181"/>
        <w:gridCol w:w="581"/>
        <w:gridCol w:w="109"/>
        <w:gridCol w:w="327"/>
        <w:gridCol w:w="185"/>
        <w:gridCol w:w="632"/>
        <w:gridCol w:w="159"/>
      </w:tblGrid>
      <w:tr>
        <w:trPr/>
        <w:tc>
          <w:tcPr>
            <w:tcW w:w="6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br/>
              <w:t xml:space="preserve">Series A Convertible </w:t>
              <w:br/>
              <w:t>Preferred</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br/>
              <w:t xml:space="preserve">Series A Convertible </w:t>
              <w:br/>
              <w:t>Preferred Stock</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C</w:t>
              <w:br/>
              <w:t>Special</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Income,</w:t>
              <w:b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Mezzanine</w:t>
              <w:br/>
              <w:t>Equity and</w:t>
              <w:br/>
              <w:t>Stockholders’</w:t>
              <w:b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443,470 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9,603 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Purchases for Restricted Stock Vests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upon Stock Option and ESPP Exercise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Awards Forfeitures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Series A Convertible Preferred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541,899 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3,312 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461,607 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63" w:type="dxa"/>
        <w:jc w:val="center"/>
        <w:tblInd w:w="0" w:type="dxa"/>
        <w:tblLayout w:type="fixed"/>
        <w:tblCellMar>
          <w:top w:w="28" w:type="dxa"/>
          <w:left w:w="28" w:type="dxa"/>
          <w:bottom w:w="28" w:type="dxa"/>
          <w:right w:w="28" w:type="dxa"/>
        </w:tblCellMar>
      </w:tblPr>
      <w:tblGrid>
        <w:gridCol w:w="612"/>
        <w:gridCol w:w="216"/>
        <w:gridCol w:w="193"/>
        <w:gridCol w:w="109"/>
        <w:gridCol w:w="109"/>
        <w:gridCol w:w="109"/>
        <w:gridCol w:w="227"/>
        <w:gridCol w:w="265"/>
        <w:gridCol w:w="139"/>
        <w:gridCol w:w="109"/>
        <w:gridCol w:w="109"/>
        <w:gridCol w:w="109"/>
        <w:gridCol w:w="210"/>
        <w:gridCol w:w="210"/>
        <w:gridCol w:w="211"/>
        <w:gridCol w:w="109"/>
        <w:gridCol w:w="109"/>
        <w:gridCol w:w="109"/>
        <w:gridCol w:w="181"/>
        <w:gridCol w:w="406"/>
        <w:gridCol w:w="109"/>
        <w:gridCol w:w="109"/>
        <w:gridCol w:w="109"/>
        <w:gridCol w:w="109"/>
        <w:gridCol w:w="181"/>
        <w:gridCol w:w="616"/>
        <w:gridCol w:w="109"/>
        <w:gridCol w:w="109"/>
        <w:gridCol w:w="109"/>
        <w:gridCol w:w="109"/>
        <w:gridCol w:w="220"/>
        <w:gridCol w:w="220"/>
        <w:gridCol w:w="221"/>
        <w:gridCol w:w="109"/>
        <w:gridCol w:w="109"/>
        <w:gridCol w:w="109"/>
        <w:gridCol w:w="181"/>
        <w:gridCol w:w="556"/>
        <w:gridCol w:w="109"/>
        <w:gridCol w:w="109"/>
        <w:gridCol w:w="109"/>
        <w:gridCol w:w="109"/>
        <w:gridCol w:w="277"/>
        <w:gridCol w:w="576"/>
        <w:gridCol w:w="168"/>
        <w:gridCol w:w="109"/>
        <w:gridCol w:w="109"/>
        <w:gridCol w:w="109"/>
        <w:gridCol w:w="181"/>
        <w:gridCol w:w="541"/>
        <w:gridCol w:w="109"/>
        <w:gridCol w:w="109"/>
        <w:gridCol w:w="109"/>
        <w:gridCol w:w="109"/>
        <w:gridCol w:w="185"/>
        <w:gridCol w:w="632"/>
        <w:gridCol w:w="159"/>
      </w:tblGrid>
      <w:tr>
        <w:trPr/>
        <w:tc>
          <w:tcPr>
            <w:tcW w:w="6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C</w:t>
              <w:br/>
              <w:t>Special</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Income (Loss),</w:t>
              <w:b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562,300 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Purchases for Restricted Stock Vests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upon Stock Option and ESPP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Awards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620,249 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597,212 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Equity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2026 and 2025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3549" w:type="dxa"/>
        <w:jc w:val="center"/>
        <w:tblInd w:w="0" w:type="dxa"/>
        <w:tblLayout w:type="fixed"/>
        <w:tblCellMar>
          <w:top w:w="28" w:type="dxa"/>
          <w:left w:w="28" w:type="dxa"/>
          <w:bottom w:w="28" w:type="dxa"/>
          <w:right w:w="28" w:type="dxa"/>
        </w:tblCellMar>
      </w:tblPr>
      <w:tblGrid>
        <w:gridCol w:w="637"/>
        <w:gridCol w:w="191"/>
        <w:gridCol w:w="193"/>
        <w:gridCol w:w="181"/>
        <w:gridCol w:w="541"/>
        <w:gridCol w:w="109"/>
        <w:gridCol w:w="109"/>
        <w:gridCol w:w="109"/>
        <w:gridCol w:w="109"/>
        <w:gridCol w:w="270"/>
        <w:gridCol w:w="270"/>
        <w:gridCol w:w="271"/>
        <w:gridCol w:w="109"/>
        <w:gridCol w:w="109"/>
        <w:gridCol w:w="109"/>
        <w:gridCol w:w="109"/>
        <w:gridCol w:w="109"/>
        <w:gridCol w:w="109"/>
        <w:gridCol w:w="227"/>
        <w:gridCol w:w="265"/>
        <w:gridCol w:w="139"/>
        <w:gridCol w:w="109"/>
        <w:gridCol w:w="109"/>
        <w:gridCol w:w="109"/>
        <w:gridCol w:w="210"/>
        <w:gridCol w:w="210"/>
        <w:gridCol w:w="211"/>
        <w:gridCol w:w="109"/>
        <w:gridCol w:w="109"/>
        <w:gridCol w:w="109"/>
        <w:gridCol w:w="181"/>
        <w:gridCol w:w="406"/>
        <w:gridCol w:w="109"/>
        <w:gridCol w:w="109"/>
        <w:gridCol w:w="109"/>
        <w:gridCol w:w="109"/>
        <w:gridCol w:w="181"/>
        <w:gridCol w:w="616"/>
        <w:gridCol w:w="109"/>
        <w:gridCol w:w="109"/>
        <w:gridCol w:w="109"/>
        <w:gridCol w:w="109"/>
        <w:gridCol w:w="220"/>
        <w:gridCol w:w="220"/>
        <w:gridCol w:w="221"/>
        <w:gridCol w:w="109"/>
        <w:gridCol w:w="109"/>
        <w:gridCol w:w="109"/>
        <w:gridCol w:w="181"/>
        <w:gridCol w:w="556"/>
        <w:gridCol w:w="109"/>
        <w:gridCol w:w="109"/>
        <w:gridCol w:w="109"/>
        <w:gridCol w:w="109"/>
        <w:gridCol w:w="244"/>
        <w:gridCol w:w="629"/>
        <w:gridCol w:w="148"/>
        <w:gridCol w:w="109"/>
        <w:gridCol w:w="109"/>
        <w:gridCol w:w="109"/>
        <w:gridCol w:w="181"/>
        <w:gridCol w:w="631"/>
        <w:gridCol w:w="109"/>
        <w:gridCol w:w="327"/>
        <w:gridCol w:w="185"/>
        <w:gridCol w:w="632"/>
        <w:gridCol w:w="159"/>
      </w:tblGrid>
      <w:tr>
        <w:trPr/>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br/>
              <w:t xml:space="preserve">Series A Convertible </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br/>
              <w:t xml:space="preserve">Series A Convertible </w:t>
              <w:br/>
              <w:t>Preferred 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C</w:t>
              <w:br/>
              <w:t>Special</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Income,</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Mezzanine</w:t>
              <w:br/>
              <w:t>Equity and</w:t>
              <w:br/>
              <w:t>Stockholders’</w:t>
              <w:b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428,530 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18,470 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Purchases for Restricted Stock Vests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upon Stock Option and ESPP Exercise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Performance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Awards Forfeitures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Series A Convertible Preferred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Series A Convertible Preferred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541,899 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3,312 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461,607 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248" w:type="dxa"/>
        <w:jc w:val="center"/>
        <w:tblInd w:w="0" w:type="dxa"/>
        <w:tblLayout w:type="fixed"/>
        <w:tblCellMar>
          <w:top w:w="28" w:type="dxa"/>
          <w:left w:w="28" w:type="dxa"/>
          <w:bottom w:w="28" w:type="dxa"/>
          <w:right w:w="28" w:type="dxa"/>
        </w:tblCellMar>
      </w:tblPr>
      <w:tblGrid>
        <w:gridCol w:w="637"/>
        <w:gridCol w:w="191"/>
        <w:gridCol w:w="193"/>
        <w:gridCol w:w="109"/>
        <w:gridCol w:w="109"/>
        <w:gridCol w:w="109"/>
        <w:gridCol w:w="227"/>
        <w:gridCol w:w="265"/>
        <w:gridCol w:w="139"/>
        <w:gridCol w:w="109"/>
        <w:gridCol w:w="109"/>
        <w:gridCol w:w="109"/>
        <w:gridCol w:w="210"/>
        <w:gridCol w:w="210"/>
        <w:gridCol w:w="211"/>
        <w:gridCol w:w="109"/>
        <w:gridCol w:w="109"/>
        <w:gridCol w:w="109"/>
        <w:gridCol w:w="181"/>
        <w:gridCol w:w="406"/>
        <w:gridCol w:w="109"/>
        <w:gridCol w:w="109"/>
        <w:gridCol w:w="109"/>
        <w:gridCol w:w="109"/>
        <w:gridCol w:w="181"/>
        <w:gridCol w:w="616"/>
        <w:gridCol w:w="109"/>
        <w:gridCol w:w="109"/>
        <w:gridCol w:w="109"/>
        <w:gridCol w:w="109"/>
        <w:gridCol w:w="220"/>
        <w:gridCol w:w="220"/>
        <w:gridCol w:w="221"/>
        <w:gridCol w:w="109"/>
        <w:gridCol w:w="109"/>
        <w:gridCol w:w="109"/>
        <w:gridCol w:w="181"/>
        <w:gridCol w:w="556"/>
        <w:gridCol w:w="109"/>
        <w:gridCol w:w="109"/>
        <w:gridCol w:w="109"/>
        <w:gridCol w:w="109"/>
        <w:gridCol w:w="244"/>
        <w:gridCol w:w="629"/>
        <w:gridCol w:w="148"/>
        <w:gridCol w:w="109"/>
        <w:gridCol w:w="109"/>
        <w:gridCol w:w="109"/>
        <w:gridCol w:w="195"/>
        <w:gridCol w:w="602"/>
        <w:gridCol w:w="119"/>
        <w:gridCol w:w="109"/>
        <w:gridCol w:w="109"/>
        <w:gridCol w:w="109"/>
        <w:gridCol w:w="185"/>
        <w:gridCol w:w="632"/>
        <w:gridCol w:w="159"/>
      </w:tblGrid>
      <w:tr>
        <w:trPr/>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C</w:t>
              <w:br/>
              <w:t>Special</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Income (Loss),</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(23,099)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540,724 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Purchases for Restricted Stock Vests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upon Stock Option and ESPP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Awards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31,104 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597,212 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639" w:type="dxa"/>
        <w:jc w:val="center"/>
        <w:tblInd w:w="0" w:type="dxa"/>
        <w:tblLayout w:type="fixed"/>
        <w:tblCellMar>
          <w:top w:w="28" w:type="dxa"/>
          <w:left w:w="28" w:type="dxa"/>
          <w:bottom w:w="28" w:type="dxa"/>
          <w:right w:w="28" w:type="dxa"/>
        </w:tblCellMar>
      </w:tblPr>
      <w:tblGrid>
        <w:gridCol w:w="2605"/>
        <w:gridCol w:w="2286"/>
        <w:gridCol w:w="2294"/>
        <w:gridCol w:w="196"/>
        <w:gridCol w:w="736"/>
        <w:gridCol w:w="109"/>
        <w:gridCol w:w="109"/>
        <w:gridCol w:w="109"/>
        <w:gridCol w:w="109"/>
        <w:gridCol w:w="196"/>
        <w:gridCol w:w="736"/>
        <w:gridCol w:w="154"/>
      </w:tblGrid>
      <w:tr>
        <w:trPr/>
        <w:tc>
          <w:tcPr>
            <w:tcW w:w="2605"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and cash equivalents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(gain) loss on investment in equity securities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Non-cash interest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 fair value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government rebates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Returned goods reserve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accrued compensation,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and Cash Equivalents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product rights, intangible assets, and other related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and Cash Equivalents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 option exercises and ESPP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purchases for restricted stock vests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Novitium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and Cash Equivalents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beginning of period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beginning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end of period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for cash flow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 received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non-cash investing and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consideration for acquired product rights and intangible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purchased and included in accounts payable</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br/>
        <w:t>(Tabular Dollars in Thousands, Except Share and per Share Data)</w:t>
        <w:b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BUSINESS, PRESENTATION, AND RECENT ACCOUNTING PRONOUNCEMENTS</w:t>
      </w:r>
    </w:p>
    <w:p>
      <w:pPr>
        <w:pStyle w:val="TextBody"/>
        <w:bidi w:val="0"/>
        <w:spacing w:lineRule="auto" w:line="288" w:before="200" w:after="283"/>
        <w:jc w:val="left"/>
        <w:rPr/>
      </w:pPr>
      <w:r>
        <w:rPr>
          <w:rFonts w:ascii="Times New Roman;serif" w:hAnsi="Times New Roman;serif"/>
          <w:b/>
          <w:color w:val="000000"/>
          <w:sz w:val="20"/>
        </w:rPr>
        <w:t>Overview</w:t>
        <w:br/>
        <w:br/>
      </w:r>
      <w:r>
        <w:rPr>
          <w:rFonts w:ascii="Times New Roman;serif" w:hAnsi="Times New Roman;serif"/>
          <w:b w:val="false"/>
          <w:color w:val="000000"/>
          <w:sz w:val="20"/>
        </w:rPr>
        <w:t>ANI Pharmaceuticals, Inc. and its consolidated subsidiaries (collectively, “ANI,” the “Company,” “we,” “us,” or “our”) is a diversified bio-pharmaceutical company. The Company’s mission is “Serving Patients, Improving Lives” by developing, manufacturing, and commercializing therapeutics through its Rare Disease, Generics and Other, and Brands businesses.</w:t>
      </w:r>
    </w:p>
    <w:p>
      <w:pPr>
        <w:pStyle w:val="TextBody"/>
        <w:bidi w:val="0"/>
        <w:spacing w:lineRule="auto" w:line="288" w:before="200" w:after="283"/>
        <w:jc w:val="left"/>
        <w:rPr>
          <w:rFonts w:ascii="Times New Roman;serif" w:hAnsi="Times New Roman;serif"/>
          <w:b w:val="false"/>
          <w:color w:val="000000"/>
          <w:sz w:val="20"/>
        </w:rPr>
      </w:pPr>
      <w:bookmarkStart w:id="0" w:name="i332f94f2fda14debbdcb7eb97089094e_7990"/>
      <w:bookmarkEnd w:id="0"/>
      <w:r>
        <w:rPr>
          <w:rFonts w:ascii="Times New Roman;serif" w:hAnsi="Times New Roman;serif"/>
          <w:b w:val="false"/>
          <w:color w:val="000000"/>
          <w:sz w:val="20"/>
        </w:rPr>
        <w:t>In connection with the acquisition of Alimera Sciences, Inc. (“Alimera”) in September 2024, the Company added two new products, ILUVIEN® (“ILUVIEN”) and YUTIQ® (“YUTIQ”), both of which are indicated for the treatment of chronic retinal diseases. In March 2025, the U.S. Food and Drug Administration (the “FDA”) approved an expanded label for ILUVIEN to include an indication for the treatment of chronic non-infectious uveitis affecting the posterior segment of the eye (“NIU-PS”) in addition to the then-current indication of Diabetic Macular Edema (“DME”). The Company is currently marketing ILUVIEN for both indications in the U.S. ILUVIEN was already approved for both DME and NIU-PS outside the U.S., including in seventeen European countries. During the second quarter of 2025, the Company transitioned promotional efforts in the U.S. from YUTIQ to ILUVIEN with its combined label of DME and NIU-PS.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owns and operates three pharmaceutical manufacturing facilities, which include two facilities in Baudette, Minnesota and one in East Windsor, New Jersey, which collectively are capable of producing oral solid dose products, as well as semi-solids, liquids and topicals, controlled substances, and potent products that must be manufactured in a fully-contained environment.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have been prepared in accordance with accounting principles generally accepted in the United States of America (“U.S. GAAP”) for interim financial information. In the opinion of management, the accompanying unaudited interim condensed consolidated financial statements include all adjustments, consisting of normal recurring adjustments, which are necessary to present fairly the Company’s financial position, results of operations, comprehensive income (loss), and cash flows. The condensed consolidated balance sheet at December 31, 2025 has been derived from audited financial statements as of that date. The unaudited condensed consolidated statements of operations are not necessarily indicative of the results that may occur for the full fiscal year. Certain information and footnote disclosure normally included in financial statements prepared in accordance with U.S. GAAP have been omitted pursuant to instructions, rules, and regulations prescribed by the U.S. Securities and Exchange Commission (the “SEC”). Therefore, these unaudited interim condensed consolidated financial statements should be read in conjunction with the Company’s audited financial statements and notes thereto previously distributed in the Company’s Annual Report on Form 10-K for the year ended December 31, 2025 (the “2025 Form 10-K”), as filed with the SEC.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include the accounts of ANI Pharmaceuticals, Inc. and its subsidiaries. All intercompany accounts and transactions are eliminated in consolidation.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In the consolidated financial statements, estimates are used for, but not limited to, variable consideration determined based on accruals for chargebacks, administrative fees and rebates, government rebates, returns and other allowances, income tax provision or benefit, deferred taxes and valuation allowance, stock-based compensation, revenue recognition, allowance for inventory obsolescence, valuation of financial instruments and intangible assets, accruals for contingent liabilities, including contingent consideration and contingent value rights in acquisitions, fair value of long-lived assets, determination of right-of-use assets and lease liabilities, allowance for credit losses, and the depreciable lives of long-lived assets. Because of the uncertainties inherent in such estimates, actual results may differ from those estimates. Management periodically evaluates estimates used in the preparation of the financial statements for reasonableness.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and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200" w:after="283"/>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Disaggregation of Income Statement Expenses (DISE)</w:t>
      </w:r>
      <w:r>
        <w:rPr>
          <w:rFonts w:ascii="Times New Roman;serif" w:hAnsi="Times New Roman;serif"/>
          <w:b w:val="false"/>
          <w:color w:val="000000"/>
          <w:sz w:val="20"/>
        </w:rPr>
        <w:t>, which specifies additional disclosure requirements. The new guidance requires additional disclosures, including the composition of certain income statement expense line items (such as purchases of inventory, employee compensation, and “other expenses”) and a separate disclosure for selling expenses. This change is effective for fiscal years beginning after December 15, 2026, and interim periods beginning after December 15, 2027, however, early adoption is permitted. The Company is currently evaluating the impact that the adoption of ASU 2024-03 will have on the consolidated financial statements and disclosures and anticipates disclosing any impact of the adoption in the Annual Report on Form 10-K for the fiscal year ended December 31, 2027.</w:t>
      </w:r>
    </w:p>
    <w:p>
      <w:pPr>
        <w:pStyle w:val="TextBody"/>
        <w:bidi w:val="0"/>
        <w:spacing w:lineRule="auto" w:line="288" w:before="200" w:after="283"/>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xml:space="preserve">, which amends the guidance in ASC 350-40, </w:t>
      </w:r>
      <w:r>
        <w:rPr>
          <w:rFonts w:ascii="Times New Roman;serif" w:hAnsi="Times New Roman;serif"/>
          <w:b w:val="false"/>
          <w:i/>
          <w:color w:val="000000"/>
          <w:sz w:val="20"/>
        </w:rPr>
        <w:t>Intangibles-Goodwill and Other-Internal-Use Software</w:t>
      </w:r>
      <w:r>
        <w:rPr>
          <w:rFonts w:ascii="Times New Roman;serif" w:hAnsi="Times New Roman;serif"/>
          <w:b w:val="false"/>
          <w:color w:val="000000"/>
          <w:sz w:val="20"/>
        </w:rPr>
        <w:t>.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that the adoption of ASU 2025-06 will have on the consolidated financial statements and disclosures and anticipates disclosing any impact of the adoption in the Annual Report on Form 10-K for the fiscal year ended December 31, 2026.</w:t>
      </w:r>
    </w:p>
    <w:p>
      <w:pPr>
        <w:pStyle w:val="TextBody"/>
        <w:bidi w:val="0"/>
        <w:spacing w:lineRule="auto" w:line="288" w:before="200" w:after="283"/>
        <w:jc w:val="left"/>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Hedge Accounting Improvements. </w:t>
      </w:r>
      <w:r>
        <w:rPr>
          <w:rFonts w:ascii="Times New Roman;serif" w:hAnsi="Times New Roman;serif"/>
          <w:b w:val="false"/>
          <w:color w:val="000000"/>
          <w:sz w:val="20"/>
        </w:rPr>
        <w:t>The amendments in ASU 2025-09 more closely align hedge accounting with the economics of an entity’s risk management activities for (i) similar risk assessment for cash flow hedges, (ii) hedging forecasted interest payments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currently evaluating the impact that the adoption of ASU 2025-09 will have on the consolidated financial statements and disclosures and anticipates disclosing any impact of the adoption in the Annual Report on Form 10-K for the fiscal year ended December 31, 2027.</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are no other accounting pronouncements recently issued or newly effective that had, or are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2.    REVENUE RECOGNITION AND RELATED ALLOWANCES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is recognized using the following steps: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Determination of the transaction price, including the identification and estimation of variable consideration;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Recognition of revenue when the Company satisfies a performance obligation.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Revenues are primarily derived from sales of generic, rare disease, and brands portfolio pharmaceutical products, certain milestone payments, royalties, and other pharmaceutical services. Revenue is recognized when obligations under the terms of contracts with customers are satisfied, which generally occurs when control of the products is transferred to the customer. Revenue is measured at the net transaction price equal to the gross invoice price reduced by estimated variable consideration. Estimates of variable consideration are updated each reporting period based on available historical data, contractual terms, and management’s judgment regarding current market conditions. The Company generally does not have incremental costs to obtain contracts that would otherwise not have been incurred. The Company does not adjust revenue for the promised amount of consideration for the effects of a significant financing component because its customers generally pay within 100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All revenue recognized in the accompanying unaudited condensed consolidated statements of operations is considered to be revenue from contracts with customers. The following table depicts the disaggregation of revenue:</w:t>
      </w:r>
    </w:p>
    <w:tbl>
      <w:tblPr>
        <w:tblW w:w="9706" w:type="dxa"/>
        <w:jc w:val="left"/>
        <w:tblInd w:w="0" w:type="dxa"/>
        <w:tblLayout w:type="fixed"/>
        <w:tblCellMar>
          <w:top w:w="28" w:type="dxa"/>
          <w:left w:w="28" w:type="dxa"/>
          <w:bottom w:w="28" w:type="dxa"/>
          <w:right w:w="28" w:type="dxa"/>
        </w:tblCellMar>
      </w:tblPr>
      <w:tblGrid>
        <w:gridCol w:w="1364"/>
        <w:gridCol w:w="1199"/>
        <w:gridCol w:w="1202"/>
        <w:gridCol w:w="109"/>
        <w:gridCol w:w="109"/>
        <w:gridCol w:w="109"/>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Products and Services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Cortrophin 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ILUVIEN and YUTIQ</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Brand royalties and other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and Brands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generic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Generics and Other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There were no sales of YUTIQ during the quarters ended March 31, 2026 and June 30, 2026, as the Company transitioned promotional efforts in the U.S. from YUTIQ to ILUVIEN, which has a combined label of DME and NIU-PS as of the second quarter of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all of the Company’s revenue was recognized at a point in time, except for the revenue recognized under the Harmony Agreement (as defined below). Revenue is recognized at a point in time when the performance obligations in the Company's contracts with customers have been satisfied, generally when control of the products is transferred to the customer. The Company estimates and recognizes royalty revenue as the related sales occur, and recognizes milestone revenue as the milestones are achieved.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January 2026, Novitium Pharma LLC (“Novitium”), a subsidiary of the Company, entered into an IP license agreement (“Harmony Agreement”) with Harmony Biosciences LLC (“Harmony”), which includes an exclusive license to intellectual property that will expand the intellectual property estate of Harmony, as well as a co-exclusive license, with which Harmony and Novitium intend to develop a novel formulation of pitolisant in broad central nervous system indications outside of sleep/wake. Under the Harmony Agreement, the Company received an upfront license fee of $15.0 million, which was recognized as revenue within the condensed consolidated statements of operations for the three months ended March 31, 2026. In addition, the Company earns low-single digit royalties on net sales of pitolisant-based products. The Company recognized royalty revenue of $9.7 million and $16.3 million in the three and six months ended June 30, 2026, respectively. In addition, the Company expects to receive an aggregate of $10.0 million upon achievement of certain development milestones satisfied over time. During the three and six months ended June 30, 2026, the Company recognized $8.0 million of revenue associated with the achievement of development milestones, and expects to recognize the remaining revenue during the third quarter of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Variable Consideration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of pharmaceutical products are subject to variable consideration due to chargebacks, government rebates, returns, administrative and other rebates, and prompt pay discounts. Estimates for these elements of variable consideration require significant judgment.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the unaudited condensed consolidated balance sheets for accruals and allowances for the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707"/>
        <w:gridCol w:w="622"/>
        <w:gridCol w:w="624"/>
        <w:gridCol w:w="223"/>
        <w:gridCol w:w="876"/>
        <w:gridCol w:w="117"/>
        <w:gridCol w:w="109"/>
        <w:gridCol w:w="109"/>
        <w:gridCol w:w="109"/>
        <w:gridCol w:w="328"/>
        <w:gridCol w:w="1126"/>
        <w:gridCol w:w="170"/>
        <w:gridCol w:w="109"/>
        <w:gridCol w:w="109"/>
        <w:gridCol w:w="109"/>
        <w:gridCol w:w="352"/>
        <w:gridCol w:w="1204"/>
        <w:gridCol w:w="181"/>
        <w:gridCol w:w="109"/>
        <w:gridCol w:w="109"/>
        <w:gridCol w:w="109"/>
        <w:gridCol w:w="279"/>
        <w:gridCol w:w="956"/>
        <w:gridCol w:w="146"/>
        <w:gridCol w:w="109"/>
        <w:gridCol w:w="109"/>
        <w:gridCol w:w="109"/>
        <w:gridCol w:w="211"/>
        <w:gridCol w:w="616"/>
        <w:gridCol w:w="159"/>
      </w:tblGrid>
      <w:tr>
        <w:trPr/>
        <w:tc>
          <w:tcPr>
            <w:tcW w:w="7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Accruals for Chargebacks, Returns, and Other Allowances</w:t>
            </w:r>
          </w:p>
        </w:tc>
      </w:tr>
      <w:tr>
        <w:trPr/>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Chargebacks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 Government</w:t>
              <w:br/>
              <w:t>Rebates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Returned Goods Reserve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Administrative</w:t>
              <w:br/>
              <w:t>Fees and Other</w:t>
              <w:br/>
              <w:t>Rebates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Prompt</w:t>
              <w:br/>
              <w:t>Payment</w:t>
              <w:br/>
              <w:t>Discounts</w:t>
            </w:r>
          </w:p>
        </w:tc>
      </w:tr>
      <w:tr>
        <w:trPr/>
        <w:tc>
          <w:tcPr>
            <w:tcW w:w="19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32,910 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22,737 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40,730 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21,416 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360,498 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Credits/Payments </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 (1)</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94,538 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41,392 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44,013 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(1)Accounts receivable, net in the unaudited condensed consolidated balance sheet at June 30, 2026 includes $94.5 million of Chargebacks, $19.0 million of Administrative Fees and Other Rebates and $7.2 million of Prompt Payment Discounts. Accrued expenses and other in the unaudited condensed consolidated balance sheet at June 30, 2026 includes $9.5 million of Administrative Fees and Other Rebates.</w:t>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Credit Concentration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ANI’s customers are primarily national wholesalers, specialty pharmacies, retail pharmacy chains, other U.S. and international distributors, group purchasing organizations, and hospitals and healthcare providers.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there were three customers that accounted for 10% or more of net revenues. During the three and six months ended June 30, 2025, there were three and four customers, respectively, that accounted for 10% or more of net revenues. As of June 30, 2026, accounts receivable from three customers totaled 56% of accounts receivable, net.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three customers that accounted for 10% or more of net revenues during the three and six months ended June 30, 2026 and the three and four customers, respectively, that accounted for 10% or more of net revenues during the three and six months ended June 30, 2025 each represent the total percentage of net revenues as follows:</w:t>
      </w:r>
    </w:p>
    <w:tbl>
      <w:tblPr>
        <w:tblW w:w="6474" w:type="dxa"/>
        <w:jc w:val="left"/>
        <w:tblInd w:w="0" w:type="dxa"/>
        <w:tblLayout w:type="fixed"/>
        <w:tblCellMar>
          <w:top w:w="28" w:type="dxa"/>
          <w:left w:w="28" w:type="dxa"/>
          <w:bottom w:w="28" w:type="dxa"/>
          <w:right w:w="28" w:type="dxa"/>
        </w:tblCellMar>
      </w:tblPr>
      <w:tblGrid>
        <w:gridCol w:w="396"/>
        <w:gridCol w:w="348"/>
        <w:gridCol w:w="351"/>
        <w:gridCol w:w="219"/>
        <w:gridCol w:w="219"/>
        <w:gridCol w:w="545"/>
        <w:gridCol w:w="219"/>
        <w:gridCol w:w="219"/>
        <w:gridCol w:w="219"/>
        <w:gridCol w:w="219"/>
        <w:gridCol w:w="219"/>
        <w:gridCol w:w="545"/>
        <w:gridCol w:w="109"/>
        <w:gridCol w:w="109"/>
        <w:gridCol w:w="109"/>
        <w:gridCol w:w="196"/>
        <w:gridCol w:w="196"/>
        <w:gridCol w:w="488"/>
        <w:gridCol w:w="196"/>
        <w:gridCol w:w="196"/>
        <w:gridCol w:w="196"/>
        <w:gridCol w:w="196"/>
        <w:gridCol w:w="196"/>
        <w:gridCol w:w="569"/>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1</w:t>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2</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3</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4</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3.    2021 CREDIT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Novitium on November 19, 2021, the Company, as borrower, entered into a credit agreement (the “2021 Credit Agreement”) with Truist Bank and other lenders, which provided for credit facilities consisting of (i) a senior secured term loan facility in an aggregate principal amount of $300.0 million (the “2021 Term Facility”) and (ii) a senior secured revolving credit facility in an aggregate commitment amount of $40.0 million, which provided for revolving credit loans, swingline loans and letters of credit (the “2021 Revolving Facility,” and together with the 2021 Term Facility, the “2021 Credit Facility”).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incurred $14.0 million in deferred debt issuance costs associated with the 2021 Credit Facility. Costs allocated to the 2021 Term Facility were classified as a direct reduction to the current and non-current portion of the borrowings, depending on their nature. Costs allocated to the 2021 Revolving Facility were classified as other current and other non-current assets, depending on their nature. A commitment fee of 0.5% per annum is assessed on any unused portion of the 2021 Revolving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Extinguishment of the 2021 Credit Facility </w:t>
      </w:r>
    </w:p>
    <w:p>
      <w:pPr>
        <w:pStyle w:val="TextBody"/>
        <w:bidi w:val="0"/>
        <w:spacing w:lineRule="auto" w:line="27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13, 2024, the Company entered into an indenture with U.S. Bank Trust Company, National Association, as trustee, for the issuance of the Notes (as defined and described in Note 5 “2.25% Convertible Senior Notes” to the notes to the condensed consolidated financial statements (unaudited)). The proceeds of the Notes and cash on-hand were used to repay the 2021 Credit Facility in its entirety, approximately $294.0 million, comprised of $292.5 million of unpaid principal, $1.2 million in accrued and unpaid interest, and $0.3 million of legal fees. In connection with the issuance of the Notes, the Company recorded a loss on debt extinguishment in the consolidated statement of operations for the year ended December 31, 2024, amounting to approximately $7.5 million, comprised of the write-off of unamortized deferred financing fees related to the 2021 Credit Facility as of August 13,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4.    2024 CREDIT AGREEMENT</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13, 2024, the Company, as lead borrower, and ANIP Acquisition Company, as initial subsidiary borrower (“ANIP”) entered into a credit agreement (the “2024 Credit Agreement”) with JPMorgan Chase Bank, N.A., as administrative agent, and the financial institutions party thereto as lenders (collectively, the “Lenders”), which provides for aggregate principal commitments consisting of (i) a senior secured delayed-draw term loan facility in an aggregate principal amount of $325.0 million (the “Term Loan A” or “TLA”), and (ii) a senior secured revolving credit facility in an aggregate commitment amount of $75.0 million, which may be used for revolving credit loans, swingline loans and letters of credit (the “TLA Revolver” and together with the TLA, the “2024 Credit Facility”).</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16, 2024 (the “2024 Credit Agreement Closing Date”), ANIP drew the full $325.0 million of Term Loan A principal, with proceeds used to finance the acquisition of Alimera, including fees, costs and expenses incurred in connection with the acquisition. As of June 30, 2026, $74.9 million is available for borrowing under the TLA Revolver. The TLA and the TLA Revolver mature on September 16, 2029. The 2024 Credit Facility contains certain contingent acceleration clauses that could result in an earlier maturity date, none of which have been triggered as of June 30, 2026. </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The cash interest rate and effective rate under the Term Loan A was approximately 6.24% and 6.61% per annum at June 30, 2026, respectively.</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The 2024 Credit Facility is secured by a lien on substantially all of the Company’s and its principal domestic subsidiary’s assets and any future domestic subsidiary guarantors’ assets. The 2024 Credit Facility is subject to customary financial and nonfinancial covenants. As of June 30, 2026, the Company was in compliance with all covenants associated with the 2024 Credit Facility.</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make quarterly principal payments, beginning on December 31, 2024, in the amount of (i) 0.625% of the original principal amount of the Term Loan A on each quarterly payment date on or prior to the one year anniversary of the 2024 Credit Agreement Closing Date, (ii) 1.25% of the original principal amount of the Term Loan A on each quarterly payment date following the one year anniversary of the 2024 Credit Agreement Closing Date and 1.875% of the original principal amount of the Term Loan A on each quarterly payment date following the three year anniversary of the 2024 Credit Agreement Closing Date and with the remaining unpaid principal amount due on the maturity date of the Term Loan A. A commitment fee accrues on the unutilized commitments under the TLA Revolver and, from and after the date that is two months after the closing date of the 2024 Credit Agreement, the TLA at a per annum rate equal between 0.25% and 0.40% depending on the Company’s first lien net leverage ratio. </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incurred $5.0 million in deferred debt issuance costs associated with the TLA, which costs are classified as a direct reduction to the current and non-current portion of debt. The Company incurred $1.1 million in deferred debt issuance costs associated with the TLA Revolver. Of the $0.7 million of unamortized deferred debt issuance costs allocated to the TLA Revolver, $0.5 million is included in other non-current assets in the unaudited condensed consolidated balance sheets, and $0.2 million is included in prepaid expenses and other current assets in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of the current and non-current components of the Term Loan A as of June 30, 2026 and December 31, 2025 are:</w:t>
      </w:r>
    </w:p>
    <w:tbl>
      <w:tblPr>
        <w:tblW w:w="4952" w:type="dxa"/>
        <w:jc w:val="left"/>
        <w:tblInd w:w="0" w:type="dxa"/>
        <w:tblLayout w:type="fixed"/>
        <w:tblCellMar>
          <w:top w:w="28" w:type="dxa"/>
          <w:left w:w="28" w:type="dxa"/>
          <w:bottom w:w="28" w:type="dxa"/>
          <w:right w:w="28" w:type="dxa"/>
        </w:tblCellMar>
      </w:tblPr>
      <w:tblGrid>
        <w:gridCol w:w="825"/>
        <w:gridCol w:w="726"/>
        <w:gridCol w:w="728"/>
        <w:gridCol w:w="211"/>
        <w:gridCol w:w="721"/>
        <w:gridCol w:w="109"/>
        <w:gridCol w:w="109"/>
        <w:gridCol w:w="109"/>
        <w:gridCol w:w="109"/>
        <w:gridCol w:w="253"/>
        <w:gridCol w:w="867"/>
        <w:gridCol w:w="18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borrowing on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17" w:type="dxa"/>
        <w:jc w:val="left"/>
        <w:tblInd w:w="0" w:type="dxa"/>
        <w:tblLayout w:type="fixed"/>
        <w:tblCellMar>
          <w:top w:w="28" w:type="dxa"/>
          <w:left w:w="28" w:type="dxa"/>
          <w:bottom w:w="28" w:type="dxa"/>
          <w:right w:w="28" w:type="dxa"/>
        </w:tblCellMar>
      </w:tblPr>
      <w:tblGrid>
        <w:gridCol w:w="956"/>
        <w:gridCol w:w="841"/>
        <w:gridCol w:w="843"/>
        <w:gridCol w:w="211"/>
        <w:gridCol w:w="826"/>
        <w:gridCol w:w="109"/>
        <w:gridCol w:w="109"/>
        <w:gridCol w:w="109"/>
        <w:gridCol w:w="109"/>
        <w:gridCol w:w="231"/>
        <w:gridCol w:w="905"/>
        <w:gridCol w:w="168"/>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borrowing on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294,531 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291,840 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contractual maturity of the Term Loan A is as follows for the years ended December 31:</w:t>
      </w:r>
    </w:p>
    <w:tbl>
      <w:tblPr>
        <w:tblW w:w="4183" w:type="dxa"/>
        <w:jc w:val="left"/>
        <w:tblInd w:w="0" w:type="dxa"/>
        <w:tblLayout w:type="fixed"/>
        <w:tblCellMar>
          <w:top w:w="28" w:type="dxa"/>
          <w:left w:w="28" w:type="dxa"/>
          <w:bottom w:w="28" w:type="dxa"/>
          <w:right w:w="28" w:type="dxa"/>
        </w:tblCellMar>
      </w:tblPr>
      <w:tblGrid>
        <w:gridCol w:w="874"/>
        <w:gridCol w:w="769"/>
        <w:gridCol w:w="771"/>
        <w:gridCol w:w="313"/>
        <w:gridCol w:w="1228"/>
        <w:gridCol w:w="228"/>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Term Loan A</w:t>
            </w:r>
          </w:p>
        </w:tc>
      </w:tr>
      <w:tr>
        <w:trPr/>
        <w:tc>
          <w:tcPr>
            <w:tcW w:w="2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304,688 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total interest expense, net recognized in the accompanying unaudited condensed consolidated statements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23"/>
        <w:gridCol w:w="1287"/>
        <w:gridCol w:w="1290"/>
        <w:gridCol w:w="428"/>
        <w:gridCol w:w="336"/>
        <w:gridCol w:w="338"/>
        <w:gridCol w:w="207"/>
        <w:gridCol w:w="207"/>
        <w:gridCol w:w="207"/>
        <w:gridCol w:w="428"/>
        <w:gridCol w:w="336"/>
        <w:gridCol w:w="338"/>
        <w:gridCol w:w="109"/>
        <w:gridCol w:w="109"/>
        <w:gridCol w:w="109"/>
        <w:gridCol w:w="431"/>
        <w:gridCol w:w="348"/>
        <w:gridCol w:w="338"/>
        <w:gridCol w:w="188"/>
        <w:gridCol w:w="188"/>
        <w:gridCol w:w="188"/>
        <w:gridCol w:w="428"/>
        <w:gridCol w:w="351"/>
        <w:gridCol w:w="493"/>
      </w:tblGrid>
      <w:tr>
        <w:trPr/>
        <w:tc>
          <w:tcPr>
            <w:tcW w:w="152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coupon interest expense, 2024 Credit Agreement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(4,865)</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(9,794)</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(11,144)</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coupon interest expense, Convertible Notes</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w:t>
            </w:r>
          </w:p>
        </w:tc>
      </w:tr>
      <w:tr>
        <w:trPr/>
        <w:tc>
          <w:tcPr>
            <w:tcW w:w="4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(7,498)</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(15,049)</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(16,329)</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related to Construction in Progress</w:t>
            </w:r>
          </w:p>
        </w:tc>
        <w:tc>
          <w:tcPr>
            <w:tcW w:w="11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 on bank balances</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r>
      <w:tr>
        <w:trPr/>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interest rate swap</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3,862</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7,644</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5,407</w:t>
            </w:r>
          </w:p>
        </w:tc>
      </w:tr>
      <w:tr>
        <w:trPr/>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5.    2.25% CONVERTIBLE SENIOR NOTES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Offering of Convertible Senior Notes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7, 2024, the Company entered into a purchase agreement (the “Purchase Agreement”) with the initial purchasers party thereto (the “Initial Purchasers”) relating to the issuance of the $275.0 million aggregate principal amount of the Company’s Convertible Senior Notes due 2029 (the “Notes”). Pursuant to the terms of the Purchase Agreement, the Company granted the Initial Purchasers an option to purchase up to an additional $41.3 million aggregate principal amount of Notes (the “Option”) for settlement at any time during the 13 day period beginning on, and including, August 7, 2024, which Option was exercised in full on August 8, 2024.</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13, 2024 (the “Closing Date” or “Issue Date”), the Company completed an offering of $316.3 million aggregate principal amount of Notes. The Notes were issued pursuant to an indenture (the “Indenture”) dated as of August 13, 2024 between the Company and U.S. Bank Trust Company, National Association (the “Trustee”). The Notes are due September 1, 2029, unless earlier repurchased, redeemed, or converted. The Notes will accrue interest at a rate of 2.25% per annum, payable semi-annually in arrears on March 1 and September 1 of each year, beginning on March 1, 2025. After deducting the Initial Purchasers’ discounts and commissions of approximately $9.5 million, but before deducting the Company’s offering expenses, the net proceeds to the Company from the offering of the Notes were approximately $306.8 million. After payment of the cost of entering into the Capped Calls (as defined below), the Company used the remainder of the net proceeds from the Notes offering, together with cash on hand, to repay in full the outstanding unpaid principal and accrued and unpaid interest under a credit agreement the Company had previously entered into in 2021.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Conversion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June 1, 2029, holders of the Notes will have the right to convert their Notes only upon the occurrence of certain events as set forth in the Indenture. All or any portion of the Notes may be converted prior to June 1, 2029 at the holders’ option upon the occurrence of any of the following: (i) during any calendar quarter (and only during such calendar quarter) commencing after the calendar quarter ending on September 30, 2024, if the last reported sale price per share of the Company’s common stock exceeds 130% of the conversion price of the Notes for each of at least 20 trading days, whether or not consecutive,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of the Notes on such trading day; (iii) upon the occurrence of certain corporate events or distributions on the Company’s common stock, as described in the Indenture; or (iv) if the Company calls such Notes for redemption.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or after June 1, 2029 until the close of business on the second scheduled trading day immediately before the maturity date of the Notes, holders may convert all or any portion of their Notes at any time at their election. The initial conversion rate for the Notes is 13.4929 shares of the Company’s common stock per $1,000 principal amount of Notes, which represents an initial conversion price of approximately $74.11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holders that convert their Notes in connection with such Make-Whole Fundamental Change, as described in the Indenture.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Upon conversion of the Notes, the Company will pay cash up to the aggregate principal amount of the Notes to be converted and pay or deliver, as the case may be, cash, shares of the Company’s common stock or a combination of cash and shares of the Company’s common stock, at the Company’s election, in respect of the remainder, if any, of the Company’s conversion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Notes will be redeemable, in whole or in part (subject to certain limitations described below), at the Company’s option at any time, and from time to time, on or after September 1, 2027 and on or before the 61st scheduled trading day immediately before the maturity date, but only if (i) the notes are “Freely Tradable” (as defined in the Indenture) as of the date the Company sends the related redemption notice and all accrued and unpaid additional interest, if any, has been paid in full as of the first interest payment date occurring on or before the date the Company sends the related redemption notice; and (ii)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Notes unless at least $75.0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with a conversion date that is on or after the date the Company sends the related redemption notice and on or before the second business day immediately before the related redemption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certain corporate events that constitute a “Fundamental Change” (as defined in the Indenture) occur, then, subject to a limited exception for certain cash mergers, holders of the Notes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Events of Default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Notes include customary provisions relating to the occurrence of “Events of Default” (as defined in the Indenture), including breaches of covenants, breaches of warranty, change of control, nonpayment, bankruptcy, assignment, foreclosure, cessation of business, and defaults under ancillary documents. Certain of the Events of Default are subject to notice and cure periods. As of June 30, 2026, the Company was in compliance with all covenants associated with the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related to the Notes totaled $11.2 million at inception and were comprised of discounts and commissions payable to the Initial Purchasers and third-party offering costs and will be amortized to interest expense using the effective interest method over the contractual term. As of June 30, 2026 and December 31, 2025, the unamortized debt discount and debt issuance costs of the Notes were approximately $7.2 million and $8.3 million, respectively, on the unaudited condensed consolidated balance sheets. The effective interest rate during the quarter ended June 30, 2026 was 3.01%.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Notes did not meet any of the circumstances that would allow for a conversion. The Notes were therefore not convertible as of June 30, 2026, and were classified as long-term debt on the Company’s unaudited condensed consolidated balance sheet as of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estimated fair value (which represents a Level 2 valuation) of the Notes is approximately $411.2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$1.8 million and $1.8 million of contractual coupon interest expense and $0.5 million and $0.5 million of interest expense related to the amortization of deferred financing costs for the three months ended June 30, 2026 and 2025, respectively. The Company recognized $3.6 million and $3.5 million of contractual coupon interest expense and $1.1 million and $1.0 million of interest expense related to the amortization of deferred financing costs for the six months ended June 30, 2026 and 2025,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of Notes, on August 7, 2024 and August 8, 2024, the Company entered into capped call transactions with certain financial institutions (“Capped Calls”). The Capped Calls each have an initial cap price of $114.02, which represents a premium of 100% over the last reported sale price of the Company’s common stock on August 7, 2024. The Company used approximately $40.6 million of the net proceeds from the offering of the Notes to pay premiums on the Capped Calls.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Capped Calls are expected to generally reduce potential dilution to the Company’s common stock upon any conversion of the Notes and/or offset any cash payments the Company is required to make in excess of the principal amount of converted Notes. The Capped Calls cover, subject to anti-dilution adjustments, approximately 4.3 million shares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Capped Calls will expire upon the maturity of the Notes. The Capped Calls are separate transactions entered into by the Company with the financial institution counterparties thereto, and are not part of the terms of the Notes. Further, the Capped Calls do not change the holders’ rights under the Notes and do not meet the criteria for separate accounting as a derivative as they meet the criteria for equity classification. The premiums on the Capped Calls are recorded as a reduction to Additional Paid-In Capital within Shareholders’ Equity, net of deferred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available to common stockholders by the weighted-average number of shares of common stock outstanding during the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periods of net income, and when the effects are not anti-dilutive, the Company calculates diluted earnings per share by dividing net income available to common stockholders by the weighted-average number of shares outstanding plus the impact of all potential dilutive shares of common stock, consisting of shares issuable upon conversion of the Company’s senior convertible notes, common stock options, shares to be purchased under the 2016 Employee Stock Purchase Plan (“ESPP”), and performance stock units, using the more dilutive of the treasury stock or the two-class method. For periods of net loss, diluted loss per share is calculated similarly to basic loss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shares and shares of Series A convertible preferred stock (prior to their conversion into shares of common stock during 2025) contain non-forfeitable rights to dividends, and therefore are considered to be participating securities; in periods of net income, the calculation of basic and diluted earnings (loss) per share excludes from the numerator net income (but not net loss) attributable to the unvested restricted shares and the shares of common stock assumed converted from the preferred shares and excludes the impact of those shares from the denominator. The Company’s participating securities do not have a contractual obligation to share in the Company’s losses. As such, the net loss is attributed entirely to common stockholders.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for the three and six months ended June 30, 2026 and 2025 are calculated for basic and diluted earnings per share as follows:</w:t>
      </w:r>
    </w:p>
    <w:tbl>
      <w:tblPr>
        <w:tblW w:w="12103" w:type="dxa"/>
        <w:jc w:val="left"/>
        <w:tblInd w:w="0" w:type="dxa"/>
        <w:tblLayout w:type="fixed"/>
        <w:tblCellMar>
          <w:top w:w="28" w:type="dxa"/>
          <w:left w:w="28" w:type="dxa"/>
          <w:bottom w:w="28" w:type="dxa"/>
          <w:right w:w="28" w:type="dxa"/>
        </w:tblCellMar>
      </w:tblPr>
      <w:tblGrid>
        <w:gridCol w:w="1009"/>
        <w:gridCol w:w="320"/>
        <w:gridCol w:w="3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convertible senior notes, common stock options, ESPP, and performance stock units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potentially dilutive securities excluded from the computation of diluted earnings per share was 1.6 million and 2.3 million for the three months ended June 30, 2026 and 2025, respectively, because including them would have been anti-dilutive. The number of shares of potentially dilutive securities excluded from the computation of diluted earnings per share was 1.6 million and 2.4 million for the six months ended June 30, 2026 and 2025, respectively, because including them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INVENTORIES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Company’s inventory by asset class as of the dates indicated:</w:t>
      </w:r>
    </w:p>
    <w:tbl>
      <w:tblPr>
        <w:tblW w:w="4901" w:type="dxa"/>
        <w:jc w:val="left"/>
        <w:tblInd w:w="0" w:type="dxa"/>
        <w:tblLayout w:type="fixed"/>
        <w:tblCellMar>
          <w:top w:w="28" w:type="dxa"/>
          <w:left w:w="28" w:type="dxa"/>
          <w:bottom w:w="28" w:type="dxa"/>
          <w:right w:w="28" w:type="dxa"/>
        </w:tblCellMar>
      </w:tblPr>
      <w:tblGrid>
        <w:gridCol w:w="554"/>
        <w:gridCol w:w="487"/>
        <w:gridCol w:w="490"/>
        <w:gridCol w:w="234"/>
        <w:gridCol w:w="919"/>
        <w:gridCol w:w="121"/>
        <w:gridCol w:w="109"/>
        <w:gridCol w:w="109"/>
        <w:gridCol w:w="109"/>
        <w:gridCol w:w="313"/>
        <w:gridCol w:w="1228"/>
        <w:gridCol w:w="22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143,067 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Vendor Concentration</w:t>
      </w:r>
    </w:p>
    <w:p>
      <w:pPr>
        <w:pStyle w:val="TextBody"/>
        <w:bidi w:val="0"/>
        <w:spacing w:lineRule="auto" w:line="288" w:before="200" w:after="283"/>
        <w:jc w:val="left"/>
        <w:rPr/>
      </w:pPr>
      <w:r>
        <w:rPr>
          <w:rFonts w:ascii="Times New Roman;serif" w:hAnsi="Times New Roman;serif"/>
          <w:b w:val="false"/>
          <w:color w:val="000000"/>
          <w:sz w:val="20"/>
        </w:rPr>
        <w:t>Raw materials are sourced for products, including active pharmaceutical ingredients (“API”), from both domestic and international suppliers. Generally, only a single source of API is qualified for use in each product due to the cost and time required to validate a second source of supply. As a result, the Company is dependent upon its cur</w:t>
      </w:r>
      <w:r>
        <w:rPr>
          <w:rFonts w:ascii="Times New Roman;serif" w:hAnsi="Times New Roman;serif"/>
          <w:b w:val="false"/>
          <w:color w:val="000000"/>
          <w:sz w:val="20"/>
          <w:shd w:fill="FFFFFF" w:val="clear"/>
        </w:rPr>
        <w:t xml:space="preserve">rent vendors to reliably supply the API required for on-going product manufacturing. During the three months ended June 30, 2026, no single vendor represented more than 10% of our raw inventory purchases. During the six months ended June 30, 2026, approximately 23% of </w:t>
      </w:r>
      <w:r>
        <w:rPr>
          <w:rFonts w:ascii="Times New Roman;serif" w:hAnsi="Times New Roman;serif"/>
          <w:b w:val="false"/>
          <w:color w:val="000000"/>
          <w:sz w:val="20"/>
        </w:rPr>
        <w:t>the Company’s raw material inventory purchases were from one domestic supplier. During the three months ended June 30, 2025, no single vendor represented more than 10% of our raw inventory purchases. During the six months ended June 30, 2025, approximately 23% of the Company’s raw material inventory purchases were from one domestic supplier.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GOODWILL AND INTANGIBLE ASSETS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assigned its goodwill in three reporting units, Generics and Other, Brands, and Rare Disease reporting units. There have been no events or changes in circumstances that would have reduced the fair value of the reporting units below their carrying value during the three and six months ended June 30, 2026, and 2025, respectively, and as a result, no impairment charges have been recognized.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definite-lived intangible assets, other than goodwill, are as follows:</w:t>
      </w:r>
    </w:p>
    <w:tbl>
      <w:tblPr>
        <w:tblW w:w="10205" w:type="dxa"/>
        <w:jc w:val="left"/>
        <w:tblInd w:w="0" w:type="dxa"/>
        <w:tblLayout w:type="fixed"/>
        <w:tblCellMar>
          <w:top w:w="28" w:type="dxa"/>
          <w:left w:w="28" w:type="dxa"/>
          <w:bottom w:w="28" w:type="dxa"/>
          <w:right w:w="28" w:type="dxa"/>
        </w:tblCellMar>
      </w:tblPr>
      <w:tblGrid>
        <w:gridCol w:w="539"/>
        <w:gridCol w:w="474"/>
        <w:gridCol w:w="477"/>
        <w:gridCol w:w="214"/>
        <w:gridCol w:w="840"/>
        <w:gridCol w:w="110"/>
        <w:gridCol w:w="211"/>
        <w:gridCol w:w="846"/>
        <w:gridCol w:w="109"/>
        <w:gridCol w:w="223"/>
        <w:gridCol w:w="876"/>
        <w:gridCol w:w="115"/>
        <w:gridCol w:w="109"/>
        <w:gridCol w:w="109"/>
        <w:gridCol w:w="109"/>
        <w:gridCol w:w="213"/>
        <w:gridCol w:w="837"/>
        <w:gridCol w:w="110"/>
        <w:gridCol w:w="211"/>
        <w:gridCol w:w="846"/>
        <w:gridCol w:w="109"/>
        <w:gridCol w:w="222"/>
        <w:gridCol w:w="872"/>
        <w:gridCol w:w="115"/>
        <w:gridCol w:w="380"/>
        <w:gridCol w:w="380"/>
        <w:gridCol w:w="549"/>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30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Remaining Weighted Average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Amortization </w:t>
            </w:r>
          </w:p>
          <w:p>
            <w:pPr>
              <w:pStyle w:val="TableContents"/>
              <w:bidi w:val="0"/>
              <w:spacing w:lineRule="auto" w:line="240" w:before="0" w:after="0"/>
              <w:jc w:val="center"/>
              <w:rPr/>
            </w:pPr>
            <w:r>
              <w:rPr>
                <w:rFonts w:ascii="Times New Roman;serif" w:hAnsi="Times New Roman;serif"/>
                <w:b/>
                <w:color w:val="000000"/>
                <w:sz w:val="18"/>
              </w:rPr>
              <w:t xml:space="preserve">Period </w:t>
            </w:r>
            <w:r>
              <w:rPr>
                <w:rFonts w:ascii="Times New Roman;serif" w:hAnsi="Times New Roman;serif"/>
                <w:b/>
                <w:color w:val="000000"/>
                <w:sz w:val="12"/>
              </w:rPr>
              <w:t>(1)</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Carrying </w:t>
              <w:br/>
              <w:t>Amount</w:t>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Carrying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Amount</w:t>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13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Definite-Lived Intangible Assets: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ANDAs intangible assets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years</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NDAs and product rights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 years</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distribution rights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 years</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936,278 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449,857 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929,871 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479,526 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 years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20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Weighted average amortization period as of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Definite-lived intangible assets arising from business combinations and other asset acquisitions include intangibles such as Abbreviated New Drug Applications (“ANDAs”), New Drug Applications (“NDAs”) and product rights, marketing and distribution rights, customer relationships, and non-compete agreements. Definite-lived intangible assets are tested for impairment when events or changes in circumstances indicate that these assets might be impaired.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approximately $6.3 million of acquired definite-lived intangible assets consisting of product rights, patents, know-how, and trade secrets were capitalized pursuant to the Patent Purchase Agreement between Nuray Chemicals Private Limited (“Nuray”) and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definite-lived intangibles was $17.4 million and $36.1 million for the three and six months ended June 30, 2026, respectively. Amortization expense for definite-lived intangibles was $21.1 million and $41.8 million for the three and six months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$15.8 million was reclassified from indefinite-lived In-Process Research &amp; Development (“IPR&amp;D”) to definite-lived NDAs and product rights related to the commercialization of certain products, and will be amortized over ten years. As of June 30, 2026 and December 31, 2025 there was no IPR&amp;D on the unaudited condensed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impairment charges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Authorized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held its 2025 Annual Meeting of Stockholders (the “2025 Annual Meeting”) on May 22, 2025. At the 2025 Annual Meeting, the stockholders of the Company approved an amendment to the Company’s Restated Certificate of Incorporation to increase the number of authorized shares of common stock from 33.3 million shares to 66.0 million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up to 66.0 million shares of common stock with a par value of $0.0001 per share, 0.8 million shares of class C special stock with a par value of $0.0001 per share, and 1.7 million shares of undesignated preferred stock with a par value of $0.0001 per share at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23.9 million shares of common stock issued and 23.0 million shares of common stock outstanding as of June 30, 2026 and 23.1 million shares of common stock issued and 22.5 million shares of common stock outstanding as of December 31,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Class C Special Stock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10,864 shares of class C special stock issued and outstanding as of June 30, 2026 and December 31, 2025. Each share of class C special stock entitles its holder to one vote per share. Each share of class C special stock is exchangeable, at the option of the holder, for one share of the Company’s common stock, at an exchange price of $90.00 per share, subject to adjustment upon certain capitalization events. Holders of class C special stock are not entitled to receive dividends or to participate in the distribution of the Company’s assets upon liquidation, dissolution, or winding-up the Company. The holders of class C special stock have no cumulative voting, preemptive, subscription, redemption, or sinking fund rights.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Mezzanine Equity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PIPE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8, 2021, concurrently with the acquisition of Novitium, and as financing for a portion of the acquisition, the Company entered into an Equity Commitment and Investment Agreement with Ampersand 2020 Limited Partnership (the “PIPE Investor”), pursuant to which the PIPE Investor agreed to purchase 25,000 shares of the Company’s Series A convertible preferred stock (the “PIPE Shares”), for a purchase price of $1,000 per share and an aggregate purchase price of $25.0 million on November 19, 2021. The PIPE Shares were classified as mezzanine equity because the shares were mandatorily redeemable for cash upon a change in control, an event that would not have been solely in the Company’s control.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PIPE Shares accrued dividends at 6.50% per year on a cumulative basis, payable in cash or in-kind, and participated, on a pro-rata basis, in any dividends that would have been declared with respect to the Company’s common stock. The PIPE Shares were convertible into shares of the Company’s common stock at the conversion price of $41.4662 (i) beginning two years after their issuance date, at the election of ANI (in which case the PIPE Investor must convert all of the PIPE Shares), if the volume-weighted average price of the Company’s common stock for any 20 trading days out of 30 consecutive trading days exceeded 170% of the conversion price, and (ii) at any time after issuance, at the election of the PIPE Investor.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14, 2025, the PIPE Investor converted 5,000 PIPE Shares into 120,580 shares of common stock based on the conversion price of $41.4662 per share. On September 26, 2025, the Company mandatorily converted the remaining 20,000 outstanding PIPE Shares into 482,320 shares of common stock based on the conversion price of $41.4662 per share, as the conditions for conversion had been satisfied.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shares of Series A convertible preferred stock outstanding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July 2016, the Company commenced administration of the ESPP. Under the ESPP, participants can purchase shares of common stock at a 15% discount on the lowest share price on the first day of the purchase period or the last day of the purchase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2025 Annual Meeting, the stockholders of the Company approved an amendment to the ESPP. Subject to adjustment, the Amended and Restated ANI Pharmaceuticals, Inc. 2016 Employee Stock Purchase Plan (the “Amended and Restated ESPP”), authorized the issuance of an additional 500,000 shares.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are approximately 0.5 million shares of common stock available for issuance under the Amended and Restated ESPP.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Incentive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held its 2026 Annual Meeting of Stockholders (the “2026 Annual Meeting”) on May 21, 2026. During the 2026 Annual Meeting, the stockholders of the Company approved an amendment to the Amended 2022 Stock Plan (such amendment, the “2026 Stock Plan Amendment”, and the Amended 2022 Stock Plan, after giving effect to the 2026 Stock Plan Amendment, the “Second Amended 2022 Stock Plan”). The 2026 Stock Plan Amendment authorized the issuance of an additional 962,000 shares pursuant to the Second Amended 2022 Stock Plan, which have been registered on a Form S-8 Registration Statement filed with SEC on July 17, 2026. As of June 30, 2026, approximately 2.2 million shares of common stock were available for issuance under the Second Amended 2022 Stock Plan.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granted to employees and consultants generally vest over a period of four years and have 10-year contractual terms. Outstanding stock options granted to non-employee directors generally vest over a period of one to four years and have 10-year contractual terms. There were no grants of stock options during fiscal 2026 or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stock options are granted to employees through an inducement grant outside of the Second Amended 2022 Stock Plan to induce prospective employees to accept employment with the Company (the “Inducement Grants”). The options are granted at an exercise price equal to the fair market value of a share of common stock on the respective grant date and are generally exercisable in four equal annual installments beginning on the first anniversary of the respective grant date. The grants are made pursuant to inducement grants outside of the Company’s stockholder approved equity plan as permitted under the Nasdaq Stock Market listing rules. No Inducement Grants were issued to employees in fiscal 2026 or 2025.</w:t>
      </w:r>
    </w:p>
    <w:p>
      <w:pPr>
        <w:pStyle w:val="TextBody"/>
        <w:bidi w:val="0"/>
        <w:spacing w:lineRule="auto" w:line="288" w:before="200" w:after="283"/>
        <w:jc w:val="left"/>
        <w:rPr/>
      </w:pPr>
      <w:r>
        <w:rPr>
          <w:rFonts w:ascii="Times New Roman;serif" w:hAnsi="Times New Roman;serif"/>
          <w:b/>
          <w:color w:val="000000"/>
          <w:sz w:val="20"/>
        </w:rPr>
        <w:t>Restricted Stock Awards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(“RSAs”) granted to employees generally vest over a period of four years. RSAs granted to non-officer directors generally vest over a period of one year. During the vesting period, the recipient of the RSA has full voting rights as a stockholder and would receive dividends, if declared, even though the restricted stock remains subject to transfer restrictions and will generally be forfeited upon termination of the officer prior to vesting. The fair value of each RSA is based on the market value of the Company’s stock on the date of grant. Upon vesting, unrestricted shares of common stock are delivered to employees and directors.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(“RSUs”) are typically granted to international employees of the Company under the Amended 2022 Stock Plan, and generally vest over a period of four years. Each RSU will entitle the recipient to receive one unrestricted share of common stock upon vesting. The fair value of each RSU is based on the market value of the Company’s stock on the date of grant. The Company began granting RSUs to certain employees during the year ended 2025.</w:t>
      </w:r>
    </w:p>
    <w:p>
      <w:pPr>
        <w:pStyle w:val="TextBody"/>
        <w:bidi w:val="0"/>
        <w:spacing w:lineRule="auto" w:line="288" w:before="200" w:after="283"/>
        <w:jc w:val="left"/>
        <w:rPr/>
      </w:pPr>
      <w:r>
        <w:rPr>
          <w:rFonts w:ascii="Times New Roman;serif" w:hAnsi="Times New Roman;serif"/>
          <w:b/>
          <w:color w:val="000000"/>
          <w:sz w:val="20"/>
        </w:rPr>
        <w:t>Performance-Based Restricted Stock Units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Awards may also be issued in the form of performance stock units (“PSUs”). PSUs represent the right to receive a number of shares of Company common stock, contingent upon the achievement of specified performance objectives during a specified performance period. PSUs granted to date vest over a three-year performance period. The Company has granted PSUs on February 26, 2026 (“2026 PSUs”), February 12, 2025, February 14, 2024, and February 28, 2023 (“2023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2026 PSUs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as part of the Company’s equity compensation program, the Company granted 65,851 2026 PSUs to employees and officers of the Company under the Second Amended 2022 Stock Plan (including 61,684 PSUs to officers of the Company). Of these 2026 PSUs, 50% were market performance-based restricted stock units (“MPRSUs”), vesting of which is contingent upon the Company meeting certain total shareholder return (“TSR”) levels as compared to a select peer group over the three years starting January 1, 2026, and 50% were performance based restricted stock units (“PRSUs”), vesting of which is contingent upon the Company meeting certain adjusted non-GAAP year-on-year EBITDA growth rates over the three years starting January 1, 2026. The MPRSUs and PRSUs are also subject to the recipient’s continued employment or service through December 31, 2028. The related share-based compensation expense is determined based on the estimated fair value of the underlying shares on the date of grant and is recognized ratably over the vesting term.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grant date fair value per share of the MPRSUs was $111.22 and was calculated using a Monte Carlo simulation model. These MPRSUs are included at 100% of the estimated number of shares at the end of the three-year performance period and are reflected under “Granted” in the table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grant date fair value per share of the PRSUs was $77.15 based on the closing price of the stock on the date of grant. These PRSUs are included at 100% of the estimated number of shares at the end of the three-year performance period and are reflected under “Granted” in the table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described above, performance for the 2026 PSUs will be measured over a three-year performance period from January 1, 2026 through December 31, 2028 and will cliff-vest contingent upon the achievement of specified performance objectives. Both the MPRSUs and the PRSUs have a maximum potential to vest at 200%. At each reporting period, the Company analyzes progress on the performance goals to assess the likelihood of achievement.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Vesting of 2023 PSUs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2023 PSUs vested on February 11, 2026. Of the 2023 PSUs, 50% were PRSUs, the vesting of which was contingent upon the Company meeting certain adjusted non-GAAP year-on-year EBITDA growth rates over the three years starting January 1, 2023, and the remaining 50% were MPRSUs, the vesting of which was contingent on the Company meeting certain relative TSR levels as compared against the constituents of the S&amp;P 600 Pharmaceuticals, Biotechnology and Life Sciences Index.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Performance of the Company was measured from January 1, 2023 to December 31, 2025. The MPRSUs and PRSUs exceeded the maximum growth rates as defined in the award agreements, resulting in a 200% multiplier. The 2023 PSUs were included at 100% of the estimated number of shares at the end of the three-year performance period in the table below. As a result of the achievement of the 200% target of the MPRSUs and PRSUs, an additional amount of 79,600 2023 PSUs were granted, and a total of 159,200 2023 PSUs were vested, and are reflected in the table below in “Granted” and “Options Exercised/RSAs and PSUs Vested,”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stock options (including Inducement Grants), RSA, RSU, and PSU activity under the Amended 2022 Stock Plan and Inducement Grants during the six months ended June 30, 2026 is presented below:</w:t>
      </w:r>
    </w:p>
    <w:tbl>
      <w:tblPr>
        <w:tblW w:w="7569" w:type="dxa"/>
        <w:jc w:val="left"/>
        <w:tblInd w:w="0" w:type="dxa"/>
        <w:tblLayout w:type="fixed"/>
        <w:tblCellMar>
          <w:top w:w="28" w:type="dxa"/>
          <w:left w:w="28" w:type="dxa"/>
          <w:bottom w:w="28" w:type="dxa"/>
          <w:right w:w="28" w:type="dxa"/>
        </w:tblCellMar>
      </w:tblPr>
      <w:tblGrid>
        <w:gridCol w:w="1488"/>
        <w:gridCol w:w="1309"/>
        <w:gridCol w:w="1312"/>
        <w:gridCol w:w="255"/>
        <w:gridCol w:w="255"/>
        <w:gridCol w:w="256"/>
        <w:gridCol w:w="109"/>
        <w:gridCol w:w="109"/>
        <w:gridCol w:w="109"/>
        <w:gridCol w:w="180"/>
        <w:gridCol w:w="180"/>
        <w:gridCol w:w="181"/>
        <w:gridCol w:w="109"/>
        <w:gridCol w:w="109"/>
        <w:gridCol w:w="109"/>
        <w:gridCol w:w="189"/>
        <w:gridCol w:w="189"/>
        <w:gridCol w:w="193"/>
        <w:gridCol w:w="109"/>
        <w:gridCol w:w="109"/>
        <w:gridCol w:w="109"/>
        <w:gridCol w:w="176"/>
        <w:gridCol w:w="176"/>
        <w:gridCol w:w="249"/>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r>
      <w:tr>
        <w:trPr/>
        <w:tc>
          <w:tcPr>
            <w:tcW w:w="4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Outstanding/Unvested at December 31, 2025</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Exercised/PSUs, RSAs, and RSUs Vested</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Outstanding/Unvested at June 30, 2026</w:t>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20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271,000 shares purchased from employees to cover employee income taxes related to income earned upon vesting of restricted stock. The shares purchased are held in treasury and the $20.6 million total purchase price for the shares is included in Treasury stock in the accompanying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incurred for ESPP expense, stock options, restricted stock awards, restricted stock units, performance-based restricted stock units, and Inducement Grants included in the accompanying unaudited condensed consolidated statements of operations:</w:t>
      </w:r>
    </w:p>
    <w:tbl>
      <w:tblPr>
        <w:tblW w:w="8404" w:type="dxa"/>
        <w:jc w:val="left"/>
        <w:tblInd w:w="0" w:type="dxa"/>
        <w:tblLayout w:type="fixed"/>
        <w:tblCellMar>
          <w:top w:w="28" w:type="dxa"/>
          <w:left w:w="28" w:type="dxa"/>
          <w:bottom w:w="28" w:type="dxa"/>
          <w:right w:w="28" w:type="dxa"/>
        </w:tblCellMar>
      </w:tblPr>
      <w:tblGrid>
        <w:gridCol w:w="1086"/>
        <w:gridCol w:w="956"/>
        <w:gridCol w:w="958"/>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9,603 </w:t>
            </w:r>
          </w:p>
        </w:tc>
        <w:tc>
          <w:tcPr>
            <w:tcW w:w="1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21,597 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18,470 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interim periods, the Company recognizes an income tax expense (benefit) based on the Company’s estimated annual effective tax rate, calculated on a worldwide consolidated basis, expected for the entire year. The interim annual estimated effective tax rate is based on the statutory tax rates then in effect, as adjusted for estimated changes in estimated permanent differences and excludes certain discrete items whose tax effect, when material, are recognized in the interim period in which they occur. These changes in permanent differences and discrete items result in variances to the effective tax rate from period to period. The Company’s annual effective tax rate changes throughout the year as our ongoing estimates of pre-tax income, and changes in permanent differences are revised, and as discrete items occur.</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recognized an income tax expense of $12.4 million. The Company’s effective tax rate was 33.4% after discrete items for the three months ended June 30, 2026. The effective tax rate differed from the federal statutory rate of 21% primarily due to state taxes and disallowed officers’ compensation partially offset by excess tax benefits recognized upon settlement of 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Company recognized an income tax expense of $2.0 million. The Company’s effective tax rate was 18.8% after discrete items for the three months ended June 30, 2025. The effective tax rate differed from the federal statutory rate of 21% primarily due to favorable return to provision adjustments attributable to certain foreign tax returns filed during the quarter.</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recognized an income tax expense of $23.1 million. The Company’s effective tax rate was 29.9% after discrete items for the six months ended June 30, 2026. The effective tax rate differed from the federal statutory rate of 21% primarily due to state taxes and disallowed officers’ compensation partially offset by excess tax benefits recognized upon settlement of 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recognized an income tax expense of $6.3 million. The Company’s effective tax rate was 20.6% after discrete items for the six months ended June 30, 2025. The effective tax rate differed from the federal statutory rate of 21% primarily due to excess tax benefits recognized upon settlement of stock-based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Operating 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leases as of June 30, 2026 are classified as operating leases. Leases with an initial term of twelve months or less are not recorded on the balance sheet, and the Company does not separate lease and non-lease components of contracts. The Company’s lease agreements do not provide for determination of the interest rate implicit in the lease. Therefore, the Company used a benchmark approach to derive an appropriate incremental borrowing rate. The Company’s incremental borrowing rate is the rate of interest that the lessee would have to pay to borrow on a collateralized basis over a similar term an amount equal to the lease payments in a similar economic environment. The Company benchmarked itself against other companies of similar credit ratings and comparable quality and derived an incremental borrowing rate, which was used to discount its lease liabilities. Rent expense is recognized on a straight-line basis over the lease term. Operating lease ROU assets are included in other non-current assets and operating lease liabilities are included in accrued expenses and other and other non-current liabilities in the unaudited condensed consolidated balance sheets. The Company’s lease agreements do not contain any material residual value guarantees or material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products and facilities are subject to regulation by a number of federal and state governmental agencies, such as the Drug Enforcement Administration (“DEA”), the FDA, the Centers for Medicare and Medicaid Services, the Central Drugs Standard Control Organization, the Narcotics Control Bureau (“NCB”), and India’s Ministry of Health and Family Welfare. The FDA, in particular, maintains oversight of the formulation, manufacture, distribution, packaging, and labeling of all of ANI’s products. The DEA and NCB maintain oversight over products that are considered controlled substances.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Unapproved 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Four products, Esterified Estrogen with Methyltestosterone (“EEMT”), Opium Tincture, Thyroid Tablets, and Hyoscyamine, are marketed without approved NDAs or ANDAs. During the three and six months ended June 30, 2026, net revenues from commercial sales of these products totaled $5.7 million and $11.9 million, respectively. During the three and six months ended June 30, 2025, net revenues from commercial sales of these products totaled $6.1 million and $11.6 million, respectively.</w:t>
      </w:r>
    </w:p>
    <w:p>
      <w:pPr>
        <w:pStyle w:val="TextBody"/>
        <w:bidi w:val="0"/>
        <w:spacing w:lineRule="auto" w:line="268" w:before="200" w:after="283"/>
        <w:jc w:val="left"/>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and from time to time may become involved, in various disputes, governmental and/or regulatory inquiries, investigations, government reimbursement related actions and litigation. These matters are complex and subject to significant uncertainties. While the Company believes that it has valid claims and/or defenses in the litigation and other matters described below, litigation is inherently unpredictable, particularly where the damages sought are substantial or indeterminate or when the proceedings, investigations or inquiries are in the early stages, and the outcome of the proceedings could result in losses, including substantial damages, fines, civil or criminal penalties and injunctive or administrative remedies. The Company intends to vigorously prosecute and/or defend these matters, as appropriate; however, from time to time, the Company may settle or otherwise resolve these matters on terms and conditions that it believes are in the Company’s best interests. Resolution of any or all claims, investigations, and legal proceedings, individually or in the aggregate, could have a material adverse effect on the results of operations and/or cash flows in any given accounting period or on the Company’s overall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disclosed, the Company is unable to predict the outcome of the matter or to provide an estimate of the range of reasonably possible material losses. The Company records accruals for loss contingencies to the extent it is probable that a liability has been incurred and the amount of the loss can be reasonably estimated.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also be involved in other pending proceedings for which, in the opinion of management and based upon facts and circumstances known at the time, either the likelihood of loss is remote or any reasonably possible loss associated with the resolution of such proceedings is not expected to be material to its results, and therefore remain undisclosed. If and when any reasonably possible losses associated with the resolution of such other pending proceedings, in the opinion of management, become material, the Company will disclose such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like many pharmaceutical manufacturers, the Company is periodically exposed to product liability claims. The prevalence of these claims could limit the Company’s coverage under future insurance policies or cause those policies to become more expensive, which could harm its business, financial condition, and operating results. Recent trends in the product liability and director and officer insurance markets are to exclude matters related to certain classes of drugs. The Company’s policies have been subject to such exclusions which place further potential risk of financial loss on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for litigation-related matters are expensed as incurred and included in the consolidated statements of operations under the selling, general, and administrative expense line item.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Commercial Litigation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4, 2024, ANI commenced a civil action against CG Oncology, Inc. f/k/a Cold Genesys, Inc. (“CG Oncology”) in the Superior Court of the State of Delaware (“Delaware Action”). ANI’s complaint alleges that, under an Assignment and Technology Transfer Agreement dated as of November 15, 2010 (the “November 2010 Agreement”), CG Oncology is liable to pay ANI a running royalty of 5% of the worldwide net sales of cretostimogene made by CG Oncology or any affiliate or sublicensee thereof; and that in February 2024, CG Oncology wrongfully repudiated its royalty obligation to ANI. On April 2, 2024, CG Oncology filed an answer and counterclaim (the “CGON Answer and Counterclaim”) and concurrently moved for judgment on the pleadings or, in the alternative, for partial summary judgment (the “Motion for Summary Judgment”). CG Oncology’s Motion for Summary Judgment sought judgment declaring that the November 2010 Agreement does not “oblige CGON to pay royalties after expiration of the latest-running assigned patent.” On April 25, 2024, ANI filed a reply to CG Oncology’s counterclaims, denying any liability to CG Oncology and asserting additional counterclaims against CG Oncology (“Reply Counterclaims”) for alleged breach of the November 2010 Agreement and, in the alternative, for unjust enrichment. On May 15, 2024, CG Oncology filed a reply to ANI’s counterclaims, denying any liability to ANI and generally maintaining the positions taken in the CGON Answer and Counterclaim. On November 18, 2024, the court denied CG Oncology’s Motion for Summary Judgment. On June 2, 2025, CG Oncology filed five motions for summary judgment seeking dismissal of all of ANI’s claims and counterclaims, including breach of the royalty payment provision, breach of good faith performance, breach of the implied covenant of good faith, and in the alternative, unjust enrichment. Also on June 2, 2025, ANI filed a motion for partial summary judgment seeking dismissal of CG Oncology’s counterclaims for unenforceability of the royalty payment provision under Brulotte, breach of good faith performance, breach of confidentiality and trade secret misappropriation. At a pretrial conference on July 16, 2025, the court granted CG Oncology’s motion for partial summary judgment on its Brulotte counterclaim and affirmative defense, but allowed the case to proceed on ANI’s counterclaim for unjust enrichment. The court also granted ANI’s motion for partial summary judgment, dismissing CG Oncology’s breach of confidentiality and trade secret misappropriation claims. The jury trial commenced in Delaware Superior Court on July 21, 2025. On July 29, 2025, a verdict was returned by the jury, finding that (1) the unenforceability of the royalty payment provision in the November 2010 Agreement did not affect the economic or legal substance of the transactions contemplated thereby in a manner that was materially adverse to ANI, and (2) awarding no damages to ANI on its unjust enrichment counterclaim. On August 12, 2025, ANI filed a motion for a new trial and for judgment as a matter of law. A hearing on the motions was held by the court on April 10, 2026. On July 16, 2026, the court denied ANI's motions. ANI intends to appeal these decisions to the Delaware Supreme Court.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6, 2024, a complaint was filed against ANI by Acella Pharmaceuticals, LLC, in the United States District Court of Minnesota, asserting, among other things, false advertising under the Lanham Act, and unfair trade practices and false advertising under Minnesota law, relating to ANI’s natural desiccated thyroid tablets USP. The complaint seeks injunctive relief, actual and consequential damages, disgorgement of profits, and attorneys’ fees and costs. On June 7, 2024, ANI filed an amended answer to Acella’s complaint, denying all claims, and asserting certain affirmative defenses, and counterclaims against Acella for false advertising of its thyroid product marketed as NP Thyroid® Tablets, under the Lanham Act, and for deceptive trade practices under Minnesota and Georgia law. ANI seeks injunctive relief, compensatory damages, punitive damages and attorneys’ fees and costs. On April 15, 2026, ANI and Acella filed cross motions for summary judgment against each other’s respective claims. The parties have been unable to reach a settlement to date. Fact and expert discovery are now closed. A hearing is set for August 25, 2026 on the parties’ summary judgment motions. A trial date has not been set. ANI disputes any liability in this matter and continues to defend this lawsuit vigorously.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Infringement Litigation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Harmony Biosciences Patent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20, 2026, Harmony Biosciences Management, Inc. (“Harmony Management”), along with Novitium, as exclusive licensor of certain intellectual property to Harmony Management, including U.S. Patent No. 11,623,920 (the “920 Patent”), filed a lawsuit against AET Pharma US, Inc., AET Laboratories Private Limited, Alfred E. Tiefenbacher (GmbH &amp; Co. KG) (collectively, “AET”), Sandoz Inc., Sandoz Private Limited, and Sandoz GmbH, alleging that the defendants’ actions in connection with the filing of AET’s ANDA No. 218892 infringe one or more claims of the 920 Patent. The case was filed in the United States District Court for the District of Delaware and assigned case no. 26-cv-00453-JLH.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22, 2026, the defendants filed an answer to the complaint, along with counterclaims alleging various antitrust counterclaims against Harmony Management individually and against Harmony Management and Novitium jointly. On July 6, 2026, the parties stipulated that defendants Sandoz Private Limited and Sandoz GmbH be dismissed without prejudice, which stipulation was granted on July 7, 2026. On July 21, 2026, the defendants filed an amended answer updating the complaint to remove those parties.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Novitium intends to continue to pursue this matter and to vigorously defend the counterclaims along with Harmony.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Orphalan SA v. Novitium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Orphalan SA filed a lawsuit against Novitium, alleging that Novitium’s actions in connection with the filing of Novitium’s ANDA No. 218493 infringe one or more claims of U.S. Patent Nos. 10,988,436, 11,072,577, 12,358,861 and 12,358,862. The case was filed in the United States District Court for the District of Delaware and assigned case no. 1:99-mc-09999. On June 22, 2026, Novitium filed its counterclaims and answer to the complaint. On July 10, 2026, Orphalan SA filed its answer to Novitium’s counterclaims.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Novitium disputes any liability in this matter.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 re Levoketoconazole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4, 2026, Xeris Pharmaceuticals, Inc. and Strongbridge Dublin Limited filed a lawsuit against Novitium and ANI, alleging that the defendants’ actions in connection with the filing of Novitium’s ANDA No. 221336 infringe one or more claims of U.S. Patent Nos. 11,020,393 (the “393 Patent”), 11,278,547 (the “547 Patent”), 11,903,940 and 12,377,096. The case was filed in the United States District Court for the District of New Jersey and assigned case no. 2:26-cv-06568 (“Civil Action No. 26-6568”).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13, 2026, Xeris Pharmaceuticals, Inc. and Strongbridge Dublin Limited filed a separate lawsuit against Novitium and ANI, alleging that the defendants’ actions in connection with the filing of Novitium’s ANDA No. 221336 infringe one or more claims of the 393 Patent and the 547 Patent. The case was filed in the United States District Court for the District of New Jersey and assigned case no. 2:26-cv-08641 (“Civil Action No. 26-8641”). </w:t>
      </w:r>
    </w:p>
    <w:p>
      <w:pPr>
        <w:pStyle w:val="TextBody"/>
        <w:bidi w:val="0"/>
        <w:spacing w:lineRule="auto" w:line="288" w:before="240" w:after="283"/>
        <w:jc w:val="left"/>
        <w:rPr/>
      </w:pPr>
      <w:r>
        <w:rPr>
          <w:rFonts w:ascii="Times New Roman;serif" w:hAnsi="Times New Roman;serif"/>
          <w:b w:val="false"/>
          <w:color w:val="000000"/>
          <w:sz w:val="20"/>
        </w:rPr>
        <w:t xml:space="preserve">On July 20, 2026, the Court entered a Joint Stipulation and Order of Consolidation that consolidated Civil Action No. 26-6568 and Civil Action No. 26-8641 into lead case Civil Action No. 2:26-cv-02044-JXN-JBC to become the </w:t>
      </w:r>
      <w:r>
        <w:rPr>
          <w:rFonts w:ascii="Times New Roman;serif" w:hAnsi="Times New Roman;serif"/>
          <w:b w:val="false"/>
          <w:i/>
          <w:color w:val="000000"/>
          <w:sz w:val="20"/>
        </w:rPr>
        <w:t>In re Levoketoconazole Litigation</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ANI and Novitium dispute any liability in this matter.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Ranitidine Related Litigation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Federal Court Multi District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ANI and Novitium were named as defendants, along with numerous other brand and generic pharmaceutical manufacturers, wholesale distributors, retail pharmacy chains, and repackagers of ranitidine-containing products, in In re: Zantac/Ranitidine NDMA Litigation (MDL No. 2924), filed in the United States District Court for the Southern District of Florida (the “MDL Court”). Plaintiffs allege that defendants failed to disclose and/or concealed the alleged inherent presence of N-Nitrosodimethylamine (or “NDMA”) in brand-name Zantac or generic ranitidine and the alleged associated risk of cancer. While ANI was initially a defendant, the lead plaintiff attorneys voluntarily dismissed ANI as a defendant in the Master Complaint. On July 8, 2021, the MDL Court dismissed all claims by all plaintiffs against the generic drug manufacturers with prejudice, on preemption grounds. The MDL Court also dismissed all claims by all plaintiffs against the brand manufacturers on summary judgment. Plaintiffs appealed the MDL Court’s dismissals to the Eleventh Circuit Court of Appeals. On November 7, 2022, the Eleventh Circuit affirmed the MDL Court’s dismissal of cases brought by third-party payors. The Eleventh Circuit raised questions in the appeals of the other cases about the finality of the MDL Court’s judgments, which were resolved in September 2023. Plaintiffs filed opening briefs on April 10, 2024 and generics defendants filed their response on July 25, 2024. Plaintiffs filed reply briefs in September 2024. Oral arguments were heard on October 10, 2025, and a decision from the court is pending.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ANI and Novitium dispute any liability in this matter.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State Court Personal Injury Litigation</w:t>
      </w:r>
    </w:p>
    <w:p>
      <w:pPr>
        <w:pStyle w:val="TextBody"/>
        <w:bidi w:val="0"/>
        <w:spacing w:lineRule="auto" w:line="288" w:before="240" w:after="283"/>
        <w:jc w:val="left"/>
        <w:rPr/>
      </w:pPr>
      <w:r>
        <w:rPr>
          <w:rFonts w:ascii="Times New Roman;serif" w:hAnsi="Times New Roman;serif"/>
          <w:b w:val="false"/>
          <w:i/>
          <w:color w:val="000000"/>
          <w:sz w:val="20"/>
        </w:rPr>
        <w:t>California.</w:t>
      </w:r>
      <w:r>
        <w:rPr>
          <w:color w:val="000000"/>
        </w:rPr>
        <w:t xml:space="preserve"> </w:t>
      </w:r>
      <w:r>
        <w:rPr>
          <w:rFonts w:ascii="Times New Roman;serif" w:hAnsi="Times New Roman;serif"/>
          <w:b w:val="false"/>
          <w:color w:val="000000"/>
          <w:sz w:val="20"/>
        </w:rPr>
        <w:t xml:space="preserve">The pending cases in California state court naming generic ranitidine manufacturers were transferred to an existing civil case coordination docket for pretrial proceedings (“JCCP”) in Alameda County. On September 21, 2023, plaintiffs filed a master complaint in the JCCP alleging strict liability, negligent failure to warn and general negligence, but not naming any generic defendants. Plaintiffs filed an amended master complaint on April 29, 2024 and filed a second amended master complaint on July 2, 2024. Defendants filed omnibus demurrers to the complaint. Novitium is currently named in one bellwether case (“Bautista”), one wave 2 case (“Austin”), one wave 3 case (“Rodarte”), three wave 5 cases, six wave 6 cases, and four wave 7 cases. The court heard arguments for the demurrers on August 22, 2024 and issued its final ruling on August 28, 2024, allowing some counts to survive. The surviving counts as to generic defendants include strict liability (manufacturing defect) and general negligence (storage and transport, failure to warn and product containers). Novitium filed its answer to the second amended master complaint on September 6,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Keller Postman firm filed a large number of short form complaints that name generic defendants. Novitium is named in 29 of the short form complaints which reference the claims for the master complaint, but Novitium has not been served. ANI is not named. On February 1, 2024, the generic defendants filed an omnibus demurrer challenging the sufficiency of the Keller Postman complaints, largely on the basis of preemption. On April 23, 2024, the California court sustained the demurrer in part, dismissing all design defect claims against the generic defendants with prejudice on preemption grounds, but the court otherwise granted plaintiffs an opportunity for leave to amend their other claims against the generic defendants. Plaintiffs filed amended short form complaints on September 20, 2024 and defendants filed responses on October 6, 2024. One case naming Novitium (Shlitz) has been set for trial to commence on October 19, 2026 and a second case naming Novitium (Rodriguez) has been set for trial to commence after June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Novitium disputes any liability in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13.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from the sale of an asset or paid to transfer a liability assuming an orderly transaction in the most advantageous market at the measurement date. U.S. GAAP establishes a hierarchical disclosure framework that prioritizes and ranks the level of observability of inputs used in measuring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inputs used in measuring the fair value of cash and cash equivalents are considered to be Level 1 in accordance with the three-tier fair value hierarchy. The fair market values are based on period-end statements supplied by the various banks and brokers that held the majority of the Company’s funds. The fair value of short-term financial instruments (primarily accounts receivable, prepaid expenses, accounts payable, accrued expenses, and other current liabilities) approximate their carrying values because of their short-term nature. The 2024 Credit Facility bears an interest rate that fluctuates with the changes in SOFR and because the variable interest rate approximates market borrowing rates available to the Company, the carrying value of the 2024 Credit Facility approximated its fair value at June 30, 2026.</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Assets and Liabilities Measured at Fair Value on a Recurring Basis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Alimera Contingent Value Rights (CVR) Agreement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16, 2024, prior to consummation of the Alimera acquisition, the Company entered into a CVR agreement pursuant to which holders of Alimera Common Stock, as well as holders of Alimera Warrants, Alimera Options, Alimera PSUs, Alimera RSAs and Alimera RSUs, may become entitled to contingent cash payments per CVR (each, a “Milestone Payment”), such payments being contingent upon, and subject to, the achievement of: (i) $140.0 million in net revenue (the “2026 Milestone”) on third party sales of ILUVIEN and YUTIQ for the Company’s 2026 fiscal year (the “2026 Net Revenue”) and/or (ii) $160.0 million in net revenue (the “2027 Milestone” and together with the 2026 Milestone, the “Milestones”) on third party sales of ILUVIEN and YUTIQ for the Company’s 2027 fiscal year (the “2027 Net Revenue”). Each CVR entitles the holder to receive a Milestone Payment upon satisfaction of the applicable Milestones. The Milestone Payment for each CVR will equal the product (rounded to the nearest 1/100 of $0.01) of (i) $0.25 multiplied by a fraction (not exceeding one), the numerator of which is the amount, if any, by which the 2026 Net Revenue exceeds $140.0 million and the denominator of which is $10.0 million (subject to adjustment for the exercise price of applicable Alimera Options) and/or (ii) $0.25 multiplied by a fraction (not exceeding one), the numerator of which is the amount, if any, by which the 2027 Net Revenue exceeds $160.0 million and the denominator of which is $15.0 million (subject to adjustment for the exercise price of applicable Alimera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the Milestones are met, the distributions in respect of the CVRs will be made on or prior to the date that is fifteen (15) business days following the filing by the Company of its audited financial statements with the SEC in its Annual Report on Form 10-K in respect of the applicable year in which such Milestones have been achieved, and will be subject to a number of deductions, exceptions and limitations, including, but not limited to, certain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CVR liability is based on significant unobservable inputs, which represent Level 3 measurements within the fair value hierarchy. The Company utilized a Monte Carlo simulation model to estimate the fair value of the CVR liability. For each simulated path of future revenue, the payments to the CVR holders were calculated based on the contractual terms of the rights. The average payments from all simulated paths were then discounted to present value at an estimated cost of debt. As a result of the decrease in forecast future revenue for 2026 and 2027, a corresponding decrease in the CVR liability was recorded. The fair value of the CVR liability was approximately $0.5 million as of June 30, 2026, a decrease of approximately $0.9 million from $1.4 million as of December 31, 2025, and is classified within Other non-current liabilities in the Company’s unaudited condensed consolidated balance sheets. There was no current liability recorded as of June 30, 2026 as the Company does not expect to achieve the 2026 Milestone.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CVR liability balances classified as Level 3 for the three and six months ended June 30, 2026 and 2025:</w:t>
      </w:r>
    </w:p>
    <w:tbl>
      <w:tblPr>
        <w:tblW w:w="6819" w:type="dxa"/>
        <w:jc w:val="left"/>
        <w:tblInd w:w="0" w:type="dxa"/>
        <w:tblLayout w:type="fixed"/>
        <w:tblCellMar>
          <w:top w:w="28" w:type="dxa"/>
          <w:left w:w="28" w:type="dxa"/>
          <w:bottom w:w="28" w:type="dxa"/>
          <w:right w:w="28" w:type="dxa"/>
        </w:tblCellMar>
      </w:tblPr>
      <w:tblGrid>
        <w:gridCol w:w="641"/>
        <w:gridCol w:w="563"/>
        <w:gridCol w:w="565"/>
        <w:gridCol w:w="251"/>
        <w:gridCol w:w="735"/>
        <w:gridCol w:w="130"/>
        <w:gridCol w:w="130"/>
        <w:gridCol w:w="130"/>
        <w:gridCol w:w="130"/>
        <w:gridCol w:w="251"/>
        <w:gridCol w:w="735"/>
        <w:gridCol w:w="130"/>
        <w:gridCol w:w="228"/>
        <w:gridCol w:w="667"/>
        <w:gridCol w:w="118"/>
        <w:gridCol w:w="118"/>
        <w:gridCol w:w="118"/>
        <w:gridCol w:w="118"/>
        <w:gridCol w:w="228"/>
        <w:gridCol w:w="667"/>
        <w:gridCol w:w="166"/>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Money Market 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are readily convertible into cash and the net asset value of each fund on the last day of the reporting period is used to determine its fair value. Money market funds are included in Cash and cash equivalents within the unaudited condensed consolidated balance sheets, and are classified within Level 1 of the fair value hierarchy because they are valued using quoted market prices. The Company does not adjust the quoted market price for such financial instruments. The fair value of the money market funds was approximately $269.5 million and $209.9 million, as of June 30, 2026 and December 31,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Rate Swap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interest rate swap is estimated based on the present value of projected future cash flows using the SOFR forward rate curve (see Note 4 “2024 Credit Agreement” in the notes to the condensed consolidated financial statements (unaudited)). The model used to value the interest rate swap includes inputs of readily observable market data, a Level 2 input. The fair value of the interest rate swap was $1.1 million and $1.6 million as of June 30, 2026 and December 31, 2025, respectively. The interest rate swap was classified as prepaid expenses and other current assets as of June 30, 2026 in the unaudited condensed consolidated balance sheets, and other non-current assets as of December 31, 2025 in the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CG Oncology Equity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currently holds 219,925 shares of common stock in CG Oncology, Inc. (Nasdaq: CGON) (“CG Oncology”). The Company accounts for its investment in CG Oncology equity securities as an equity investment with a readily determinable fair value, as the securities are publicly traded on the Nasdaq Global Select Market. The fair value of the equity securities is based on its closing price on the Nasdaq and is classified within Level 1 of the fair value hierarchy because the equity securities are valued using quoted market prices. The Company does not adjust the quoted market price for such financial instruments. The fair value of the CG Oncology equity securities as of June 30, 2026 was approximately $15.6 million and $9.1 million as of December 31, 2025, based on a closing market price of $71.05 and $41.52 on June 30, 2026 and December 31, 2025, respectively. The change in fair value of the equity securities is classified on the unaudited condensed consolidated statements of operations as unrealized gain (loss) on investment in equity securities, in the amounts of approximately $0.7 million and $6.5 million for the three and six months ended June 30, 2026, respectively, and $0.3 million and $(0.6) million for the three and six months ended June 30, 2025, respectively. Between 2013 and 2023, CG Oncology securities held by the Company were valued at zero under U.S. GAAP.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Novitium Contingent Consideration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Novitium, the Company may pay up to $46.5 million in additional consideration related to the achievement of certain milestones, including milestones on gross profit of Novitium portfolio products over a 24-month period (which period ran from December 1, 2021 through November 30, 2023), regulatory filings completed during this 24-month period, and a percentage of net profits on certain products that are launched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discounted cash flow method used to value this contingent consideration includes inputs of not readily observable market data, which are Level 3 inputs, as the inputs are not based on readily available market data. As of the November 19, 2021 acquisition date, the contingent consideration had a fair value of $30.8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Agreement and Plan of Merger related to the Novitium acquisition, dated as of March 8, 2021 (“Novitium Merger Agreement”), the Company owes 20% of net profits generated by the sales of certain 505(b)(2) products (as defined in the Novitium Merger Agreement) to the holders of Novitium ownership interests (“Company Members”) through the earlier to occur of (i) the sum of all such payments being equal to $21.5 million in the aggregate and (ii) the tenth anniversary of the FDA approval of the applicable 505(b)(2) product (the “505(b)(2) Earn-Out”). The payments are due on a quarterly basis, within 45 calendar days of each quarter end. During the three and six months ended June 30, 2026 and 2025, the Company has paid less than $0.1 million for payment of the 505(b)(2) Earn-Out to the Company Members,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the contingent consideration was approximately $8.5 million and $8.3 million as of June 30, 2026 and December 31, 2025, respectively, and is classified within Accrued expenses and other and Other non-current liabilities in the unaudited condensed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recurring Level 3 fair value measurements of contingent consideration for which a liability is recorded include the following significant unobservable inputs as of June 30, 2026:</w:t>
      </w:r>
    </w:p>
    <w:tbl>
      <w:tblPr>
        <w:tblW w:w="10205" w:type="dxa"/>
        <w:jc w:val="left"/>
        <w:tblInd w:w="0" w:type="dxa"/>
        <w:tblLayout w:type="fixed"/>
        <w:tblCellMar>
          <w:top w:w="28" w:type="dxa"/>
          <w:left w:w="28" w:type="dxa"/>
          <w:bottom w:w="28" w:type="dxa"/>
          <w:right w:w="28" w:type="dxa"/>
        </w:tblCellMar>
      </w:tblPr>
      <w:tblGrid>
        <w:gridCol w:w="888"/>
        <w:gridCol w:w="760"/>
        <w:gridCol w:w="754"/>
        <w:gridCol w:w="109"/>
        <w:gridCol w:w="109"/>
        <w:gridCol w:w="109"/>
        <w:gridCol w:w="1071"/>
        <w:gridCol w:w="1071"/>
        <w:gridCol w:w="1065"/>
        <w:gridCol w:w="109"/>
        <w:gridCol w:w="109"/>
        <w:gridCol w:w="109"/>
        <w:gridCol w:w="797"/>
        <w:gridCol w:w="797"/>
        <w:gridCol w:w="800"/>
        <w:gridCol w:w="109"/>
        <w:gridCol w:w="109"/>
        <w:gridCol w:w="109"/>
        <w:gridCol w:w="356"/>
        <w:gridCol w:w="356"/>
        <w:gridCol w:w="509"/>
      </w:tblGrid>
      <w:tr>
        <w:trPr/>
        <w:tc>
          <w:tcPr>
            <w:tcW w:w="88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Assumptions</w:t>
            </w:r>
          </w:p>
        </w:tc>
      </w:tr>
      <w:tr>
        <w:trPr/>
        <w:tc>
          <w:tcPr>
            <w:tcW w:w="24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Profit-based milestone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Probability-weighted 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2026-2034</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contingent consideration balances classified as Level 3 balances for the three and six months ended June 30, 2026 and 2025:</w:t>
      </w:r>
    </w:p>
    <w:tbl>
      <w:tblPr>
        <w:tblW w:w="8001" w:type="dxa"/>
        <w:jc w:val="left"/>
        <w:tblInd w:w="0" w:type="dxa"/>
        <w:tblLayout w:type="fixed"/>
        <w:tblCellMar>
          <w:top w:w="28" w:type="dxa"/>
          <w:left w:w="28" w:type="dxa"/>
          <w:bottom w:w="28" w:type="dxa"/>
          <w:right w:w="28" w:type="dxa"/>
        </w:tblCellMar>
      </w:tblPr>
      <w:tblGrid>
        <w:gridCol w:w="951"/>
        <w:gridCol w:w="835"/>
        <w:gridCol w:w="839"/>
        <w:gridCol w:w="240"/>
        <w:gridCol w:w="702"/>
        <w:gridCol w:w="124"/>
        <w:gridCol w:w="124"/>
        <w:gridCol w:w="124"/>
        <w:gridCol w:w="124"/>
        <w:gridCol w:w="240"/>
        <w:gridCol w:w="821"/>
        <w:gridCol w:w="124"/>
        <w:gridCol w:w="109"/>
        <w:gridCol w:w="109"/>
        <w:gridCol w:w="109"/>
        <w:gridCol w:w="218"/>
        <w:gridCol w:w="637"/>
        <w:gridCol w:w="112"/>
        <w:gridCol w:w="112"/>
        <w:gridCol w:w="112"/>
        <w:gridCol w:w="112"/>
        <w:gridCol w:w="218"/>
        <w:gridCol w:w="746"/>
        <w:gridCol w:w="15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505(b)(2) Earn-Out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Licensor Payments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17, 2023, Alimera entered into the Product Rights Agreement (the “Product Rights Agreement”) with EyePoint Pharmaceuticals US, Inc. (“EyePoint”), Product Rights Agreement which granted Alimera an exclusive and sublicensable right and license under EyePoint’s and its affiliates’ interest in certain of EyePoint’s and its affiliates’ intellectual property to develop, manufacture, sell, commercialize and otherwise exploit certain products, including YUTIQ, for the treatment and prevention of uveitis in the entire world, except Europe, the Middle East and Africa, where the Company already had such rights pursuant to an amended and restated license agreement (the “A&amp;R Collaboration Agreement”) with EyePoint, and except for China, Hong Kong, Macau, Taiwan, Brunei, Burma (Myanmar), Cambodia, Timor-Leste, Indonesia, Laos, Malaysia, the Philippines, Singapore, South Korea, Thailand and Vietnam, for which Ocumension holds a license from EyePoint. Pursuant to the A&amp;R Collaboration Agreement, Alimera paid EyePoint an upfront payment of $75.0 million during the year ended December 31, 2024.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December 31, 2024, the Company paid the final quarterly payment of $1.9 million. Upon making the quarterly payments in the aggregate amount of $7.5 million in 2024, the licenses and rights granted to the Company became automatically perpetual and irrevocable. There are no quarterly guaranteed payments in 2025 and beyond.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Royalties are payable to EyePoint from 2025 to 2028 at 30% of annual U.S. net sales of certain products (including YUTIQ and ILUVIEN) in excess of certain thresholds, beginning at $70.0 million in 2025, and increasing annually thereafter. The Company did not make any royalty payments during 2025 or 2026, as the minimum threshold of annual U.S. net sales that would trigger the requirement to make royalty payments was not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accrued licensor payments balances classified as Level 3 balances for the three and six months ended June 30, 2026 and 2025:</w:t>
      </w:r>
    </w:p>
    <w:tbl>
      <w:tblPr>
        <w:tblW w:w="6815" w:type="dxa"/>
        <w:jc w:val="left"/>
        <w:tblInd w:w="0" w:type="dxa"/>
        <w:tblLayout w:type="fixed"/>
        <w:tblCellMar>
          <w:top w:w="28" w:type="dxa"/>
          <w:left w:w="28" w:type="dxa"/>
          <w:bottom w:w="28" w:type="dxa"/>
          <w:right w:w="28" w:type="dxa"/>
        </w:tblCellMar>
      </w:tblPr>
      <w:tblGrid>
        <w:gridCol w:w="641"/>
        <w:gridCol w:w="563"/>
        <w:gridCol w:w="565"/>
        <w:gridCol w:w="264"/>
        <w:gridCol w:w="509"/>
        <w:gridCol w:w="136"/>
        <w:gridCol w:w="136"/>
        <w:gridCol w:w="136"/>
        <w:gridCol w:w="136"/>
        <w:gridCol w:w="264"/>
        <w:gridCol w:w="904"/>
        <w:gridCol w:w="136"/>
        <w:gridCol w:w="239"/>
        <w:gridCol w:w="461"/>
        <w:gridCol w:w="123"/>
        <w:gridCol w:w="123"/>
        <w:gridCol w:w="123"/>
        <w:gridCol w:w="123"/>
        <w:gridCol w:w="239"/>
        <w:gridCol w:w="819"/>
        <w:gridCol w:w="175"/>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financial assets and liabilities accounted for at fair value on a recurring basis as of June 30, 2026 and December 31, 2025, by level within the fair value hierarchy:</w:t>
      </w:r>
    </w:p>
    <w:tbl>
      <w:tblPr>
        <w:tblW w:w="9649" w:type="dxa"/>
        <w:jc w:val="left"/>
        <w:tblInd w:w="0" w:type="dxa"/>
        <w:tblLayout w:type="fixed"/>
        <w:tblCellMar>
          <w:top w:w="28" w:type="dxa"/>
          <w:left w:w="28" w:type="dxa"/>
          <w:bottom w:w="28" w:type="dxa"/>
          <w:right w:w="28" w:type="dxa"/>
        </w:tblCellMar>
      </w:tblPr>
      <w:tblGrid>
        <w:gridCol w:w="1449"/>
        <w:gridCol w:w="1275"/>
        <w:gridCol w:w="1280"/>
        <w:gridCol w:w="109"/>
        <w:gridCol w:w="109"/>
        <w:gridCol w:w="109"/>
        <w:gridCol w:w="234"/>
        <w:gridCol w:w="919"/>
        <w:gridCol w:w="121"/>
        <w:gridCol w:w="109"/>
        <w:gridCol w:w="109"/>
        <w:gridCol w:w="109"/>
        <w:gridCol w:w="211"/>
        <w:gridCol w:w="826"/>
        <w:gridCol w:w="109"/>
        <w:gridCol w:w="109"/>
        <w:gridCol w:w="109"/>
        <w:gridCol w:w="109"/>
        <w:gridCol w:w="211"/>
        <w:gridCol w:w="616"/>
        <w:gridCol w:w="109"/>
        <w:gridCol w:w="109"/>
        <w:gridCol w:w="109"/>
        <w:gridCol w:w="109"/>
        <w:gridCol w:w="211"/>
        <w:gridCol w:w="616"/>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CG Oncology - 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Novitium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Alimera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81" w:type="dxa"/>
        <w:jc w:val="left"/>
        <w:tblInd w:w="0" w:type="dxa"/>
        <w:tblLayout w:type="fixed"/>
        <w:tblCellMar>
          <w:top w:w="28" w:type="dxa"/>
          <w:left w:w="28" w:type="dxa"/>
          <w:bottom w:w="28" w:type="dxa"/>
          <w:right w:w="28" w:type="dxa"/>
        </w:tblCellMar>
      </w:tblPr>
      <w:tblGrid>
        <w:gridCol w:w="1406"/>
        <w:gridCol w:w="1237"/>
        <w:gridCol w:w="1242"/>
        <w:gridCol w:w="109"/>
        <w:gridCol w:w="109"/>
        <w:gridCol w:w="109"/>
        <w:gridCol w:w="317"/>
        <w:gridCol w:w="1244"/>
        <w:gridCol w:w="164"/>
        <w:gridCol w:w="109"/>
        <w:gridCol w:w="109"/>
        <w:gridCol w:w="109"/>
        <w:gridCol w:w="211"/>
        <w:gridCol w:w="826"/>
        <w:gridCol w:w="109"/>
        <w:gridCol w:w="109"/>
        <w:gridCol w:w="109"/>
        <w:gridCol w:w="109"/>
        <w:gridCol w:w="211"/>
        <w:gridCol w:w="616"/>
        <w:gridCol w:w="109"/>
        <w:gridCol w:w="109"/>
        <w:gridCol w:w="109"/>
        <w:gridCol w:w="109"/>
        <w:gridCol w:w="211"/>
        <w:gridCol w:w="61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 Oncology - 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Novitium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Alimera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March 8, 2021, the Company entered into an Equity Commitment and Investment Agreement with the PIPE Investor, pursuant to which 25,000 PIPE Shares were purchased for $1,000 per share and an aggregate purchase price of $25.0 million on November 19, 2021. The former Chairman of the Company’s Board of Directors and current Director, Patrick D. Walsh, is an operating partner of Ampersand Capital Partners, an affiliate of the PIPE Investor. During the quarter ended September 30, 2025, all PIPE Shares were converted to shares of common stock, and as such there were no PIPE Shares outstanding as of June 30, 2026. Refer to Note 9 “Stockholders’ Equity” to the notes to the condensed consolidated financial statements (unaudited) for further information related to the conversion of the PIPE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Novitium, the Company entered into employment agreements with the two executives and founders of Novitium, Muthusamy Shanmugam, Head of R&amp;D and COO of New Jersey Operations of ANI, and Chad Gassert, Senior Vice President, Corporate Development and Strategy of ANI. Both serve as executive officers of the Company and Mr. Shanmugam also serves on the Company’s Board of Directors. Mr. Shanmugam holds a minority interest in Scitus Pharma Services Private Limited (“Scitus”), which provides clinical research services to Novitium. Mr. Shanmugam holds interests in certain entities with which the Company conducts business, including a majority interest in SS Pharma LLC (“SS Pharma”), which acquires and supplies API to Novitium; a minority interest in Nuray, from which the Company acquired certain intangible assets; a majority interest in each of Esjay Pharma Private Limited and Esjay LLC (collectively, “Esjay”), which provides research and development services, certain finished goods, and certain consulting services to the Company; and a minority interest in each of SThree Chemicals Pvt Ltd and SThree Chemicals LLC (collectively, “SThree”), which acquires and supplies API to Novitium.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paid approximately $5.3 million of consideration for the acquisition of certain intangible assets to Nuray, and recorded $1.0 million as contingent consideration for the acquisition of certain intangible assets. During the three months ended June 30, 2026, the Company paid approximately $0.7 million of royalty payments to Nuray, and accrued approximately $0.9 million of royalty payments for net sales related to the second quarter of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payments to related parties is presented below:</w:t>
      </w:r>
    </w:p>
    <w:tbl>
      <w:tblPr>
        <w:tblW w:w="6754" w:type="dxa"/>
        <w:jc w:val="left"/>
        <w:tblInd w:w="0" w:type="dxa"/>
        <w:tblLayout w:type="fixed"/>
        <w:tblCellMar>
          <w:top w:w="28" w:type="dxa"/>
          <w:left w:w="28" w:type="dxa"/>
          <w:bottom w:w="28" w:type="dxa"/>
          <w:right w:w="28" w:type="dxa"/>
        </w:tblCellMar>
      </w:tblPr>
      <w:tblGrid>
        <w:gridCol w:w="499"/>
        <w:gridCol w:w="439"/>
        <w:gridCol w:w="441"/>
        <w:gridCol w:w="251"/>
        <w:gridCol w:w="735"/>
        <w:gridCol w:w="130"/>
        <w:gridCol w:w="130"/>
        <w:gridCol w:w="130"/>
        <w:gridCol w:w="130"/>
        <w:gridCol w:w="251"/>
        <w:gridCol w:w="735"/>
        <w:gridCol w:w="130"/>
        <w:gridCol w:w="109"/>
        <w:gridCol w:w="109"/>
        <w:gridCol w:w="109"/>
        <w:gridCol w:w="218"/>
        <w:gridCol w:w="746"/>
        <w:gridCol w:w="112"/>
        <w:gridCol w:w="112"/>
        <w:gridCol w:w="112"/>
        <w:gridCol w:w="112"/>
        <w:gridCol w:w="218"/>
        <w:gridCol w:w="637"/>
        <w:gridCol w:w="15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Scitus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Nuray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SThree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Esjay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balances due to Nuray, Scitus, Esjay, and SThree were $1.9 million, $0.9 million, $1.5 million, and $0.3 million million, respectively. There were no payments to SS Pharma during the three and six months ended June 30, 2026, and no outstanding balance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 operating segment is defined as a component of an entity that engages in business activities from which it may recognize revenues and incur expenses, the operating results of which are regularly reviewed by the entity’s chief operating decision maker (“CODM”) to make decisions about resources to be allocated to the segment and assess its performance, and for which discrete financial information is available. The CODM for the Company is the Chief Executive Officer. The Company does not aggregate its operating segments for reporting purposes, and therefore, the reportable segments are the same as its operating segments.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organized into two operating segments as follows:</w:t>
      </w:r>
    </w:p>
    <w:p>
      <w:pPr>
        <w:pStyle w:val="TextBody"/>
        <w:bidi w:val="0"/>
        <w:spacing w:lineRule="auto" w:line="268" w:before="240" w:after="283"/>
        <w:ind w:left="0" w:right="0" w:hanging="360"/>
        <w:jc w:val="left"/>
        <w:rPr/>
      </w:pPr>
      <w:r>
        <w:rPr>
          <w:color w:val="000000"/>
        </w:rPr>
        <w:t>•</w:t>
      </w:r>
      <w:r>
        <w:rPr>
          <w:rFonts w:ascii="Times New Roman;serif" w:hAnsi="Times New Roman;serif"/>
          <w:b/>
          <w:color w:val="000000"/>
          <w:sz w:val="20"/>
        </w:rPr>
        <w:t>Rare Disease and Brands</w:t>
      </w:r>
      <w:r>
        <w:rPr>
          <w:color w:val="000000"/>
        </w:rPr>
        <w:t xml:space="preserve"> – </w:t>
      </w:r>
      <w:r>
        <w:rPr>
          <w:rFonts w:ascii="Times New Roman;serif" w:hAnsi="Times New Roman;serif"/>
          <w:b w:val="false"/>
          <w:color w:val="000000"/>
          <w:sz w:val="20"/>
        </w:rPr>
        <w:t>Consists of two reporting units, Rare Disease and Brands. The Rare Disease unit consists of operations related to the development, manufacture and marketing of proprietary branded pharmaceutical products, with a strategic focus on products used in the treatment of patients with rare disease conditions and consists of operations, related to Cortrophin Gel and ILUVIEN (there were no sales of YUTIQ during the quarters ended June 30, 2026 and March 31, 2026), royalties, and other revenues. In addition, the Brands reporting unit includes a portfolio of approximately 20 branded products that are principally sold in highly genericized markets.</w:t>
      </w:r>
    </w:p>
    <w:p>
      <w:pPr>
        <w:pStyle w:val="TextBody"/>
        <w:bidi w:val="0"/>
        <w:spacing w:lineRule="auto" w:line="288" w:before="200" w:after="283"/>
        <w:ind w:left="0" w:right="0" w:hanging="360"/>
        <w:jc w:val="left"/>
        <w:rPr/>
      </w:pPr>
      <w:r>
        <w:rPr>
          <w:color w:val="000000"/>
        </w:rPr>
        <w:t>•</w:t>
      </w:r>
      <w:r>
        <w:rPr>
          <w:rFonts w:ascii="Times New Roman;serif" w:hAnsi="Times New Roman;serif"/>
          <w:b/>
          <w:color w:val="000000"/>
          <w:sz w:val="20"/>
        </w:rPr>
        <w:t>Generics and Other</w:t>
      </w:r>
      <w:r>
        <w:rPr>
          <w:color w:val="000000"/>
        </w:rPr>
        <w:t xml:space="preserve"> – </w:t>
      </w:r>
      <w:r>
        <w:rPr>
          <w:rFonts w:ascii="Times New Roman;serif" w:hAnsi="Times New Roman;serif"/>
          <w:b w:val="false"/>
          <w:color w:val="000000"/>
          <w:sz w:val="20"/>
        </w:rPr>
        <w:t>Consists of operations related to the development, manufacture, and marketing of generic pharmaceutical products including those sold through traditional wholesale and retail sales channels, sales of contract manufactured products, royalties on contract manufactured products, and other pharmaceutical services. As of June 30, 2026, this reporting segment was comprised of over 135 product families.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CODM evaluates the performance of the Company as two operating segments based on revenues and operating income (loss), exclusive of corporate expenses and other expenses not directly allocated or attributable to an operating segment. Generally, these expenses include, but are not limited to, certain management, legal, accounting, human resources, insurance, and information technology expenses, as well as transaction and integration expenses related to the acquisition of Alimera and other acquisitions.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manage assets of the Company by operating segment and the CODM does not review asset information by operating segment. Accordingly, the Company does not present total assets by operating segment.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by reportable segment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8"/>
        <w:gridCol w:w="907"/>
        <w:gridCol w:w="870"/>
        <w:gridCol w:w="109"/>
        <w:gridCol w:w="109"/>
        <w:gridCol w:w="109"/>
        <w:gridCol w:w="280"/>
        <w:gridCol w:w="959"/>
        <w:gridCol w:w="144"/>
        <w:gridCol w:w="109"/>
        <w:gridCol w:w="109"/>
        <w:gridCol w:w="109"/>
        <w:gridCol w:w="326"/>
        <w:gridCol w:w="1115"/>
        <w:gridCol w:w="168"/>
        <w:gridCol w:w="109"/>
        <w:gridCol w:w="109"/>
        <w:gridCol w:w="109"/>
        <w:gridCol w:w="345"/>
        <w:gridCol w:w="1220"/>
        <w:gridCol w:w="181"/>
        <w:gridCol w:w="109"/>
        <w:gridCol w:w="109"/>
        <w:gridCol w:w="109"/>
        <w:gridCol w:w="211"/>
        <w:gridCol w:w="826"/>
        <w:gridCol w:w="227"/>
      </w:tblGrid>
      <w:tr>
        <w:trPr/>
        <w:tc>
          <w:tcPr>
            <w:tcW w:w="111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266,044 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(48,382)</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36,494 </w:t>
            </w:r>
          </w:p>
        </w:tc>
        <w:tc>
          <w:tcPr>
            <w:tcW w:w="1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52,348 </w:t>
            </w:r>
          </w:p>
        </w:tc>
        <w:tc>
          <w:tcPr>
            <w:tcW w:w="16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(51,745)</w:t>
            </w:r>
          </w:p>
        </w:tc>
        <w:tc>
          <w:tcPr>
            <w:tcW w:w="1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2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142"/>
        <w:gridCol w:w="932"/>
        <w:gridCol w:w="897"/>
        <w:gridCol w:w="109"/>
        <w:gridCol w:w="109"/>
        <w:gridCol w:w="109"/>
        <w:gridCol w:w="379"/>
        <w:gridCol w:w="765"/>
        <w:gridCol w:w="198"/>
        <w:gridCol w:w="109"/>
        <w:gridCol w:w="109"/>
        <w:gridCol w:w="109"/>
        <w:gridCol w:w="429"/>
        <w:gridCol w:w="957"/>
        <w:gridCol w:w="225"/>
        <w:gridCol w:w="109"/>
        <w:gridCol w:w="109"/>
        <w:gridCol w:w="109"/>
        <w:gridCol w:w="350"/>
        <w:gridCol w:w="1241"/>
        <w:gridCol w:w="184"/>
        <w:gridCol w:w="109"/>
        <w:gridCol w:w="109"/>
        <w:gridCol w:w="109"/>
        <w:gridCol w:w="211"/>
        <w:gridCol w:w="826"/>
        <w:gridCol w:w="161"/>
      </w:tblGrid>
      <w:tr>
        <w:trPr/>
        <w:tc>
          <w:tcPr>
            <w:tcW w:w="114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38,179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13,892</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38,179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(57,116)</w:t>
            </w:r>
          </w:p>
        </w:tc>
        <w:tc>
          <w:tcPr>
            <w:tcW w:w="1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1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6"/>
        <w:gridCol w:w="895"/>
        <w:gridCol w:w="857"/>
        <w:gridCol w:w="109"/>
        <w:gridCol w:w="109"/>
        <w:gridCol w:w="109"/>
        <w:gridCol w:w="629"/>
        <w:gridCol w:w="445"/>
        <w:gridCol w:w="388"/>
        <w:gridCol w:w="109"/>
        <w:gridCol w:w="109"/>
        <w:gridCol w:w="109"/>
        <w:gridCol w:w="704"/>
        <w:gridCol w:w="564"/>
        <w:gridCol w:w="381"/>
        <w:gridCol w:w="109"/>
        <w:gridCol w:w="109"/>
        <w:gridCol w:w="109"/>
        <w:gridCol w:w="342"/>
        <w:gridCol w:w="1210"/>
        <w:gridCol w:w="180"/>
        <w:gridCol w:w="109"/>
        <w:gridCol w:w="109"/>
        <w:gridCol w:w="109"/>
        <w:gridCol w:w="211"/>
        <w:gridCol w:w="826"/>
        <w:gridCol w:w="159"/>
      </w:tblGrid>
      <w:tr>
        <w:trPr/>
        <w:tc>
          <w:tcPr>
            <w:tcW w:w="11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503,506 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(86,063)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79,348</w:t>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76,812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88,599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(88,093)</w:t>
            </w:r>
          </w:p>
        </w:tc>
        <w:tc>
          <w:tcPr>
            <w:tcW w:w="1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77,318 </w:t>
            </w:r>
          </w:p>
        </w:tc>
        <w:tc>
          <w:tcPr>
            <w:tcW w:w="1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03"/>
        <w:gridCol w:w="892"/>
        <w:gridCol w:w="854"/>
        <w:gridCol w:w="109"/>
        <w:gridCol w:w="109"/>
        <w:gridCol w:w="109"/>
        <w:gridCol w:w="628"/>
        <w:gridCol w:w="445"/>
        <w:gridCol w:w="387"/>
        <w:gridCol w:w="109"/>
        <w:gridCol w:w="109"/>
        <w:gridCol w:w="109"/>
        <w:gridCol w:w="702"/>
        <w:gridCol w:w="564"/>
        <w:gridCol w:w="380"/>
        <w:gridCol w:w="109"/>
        <w:gridCol w:w="109"/>
        <w:gridCol w:w="109"/>
        <w:gridCol w:w="307"/>
        <w:gridCol w:w="1281"/>
        <w:gridCol w:w="158"/>
        <w:gridCol w:w="109"/>
        <w:gridCol w:w="109"/>
        <w:gridCol w:w="109"/>
        <w:gridCol w:w="211"/>
        <w:gridCol w:w="826"/>
        <w:gridCol w:w="159"/>
      </w:tblGrid>
      <w:tr>
        <w:trPr/>
        <w:tc>
          <w:tcPr>
            <w:tcW w:w="11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Unallocated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89,732 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40,086</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86,722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50,596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(106,806)</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pPr>
      <w:r>
        <w:rPr>
          <w:rFonts w:ascii="Times New Roman;serif" w:hAnsi="Times New Roman;serif"/>
          <w:b w:val="false"/>
          <w:i/>
          <w:color w:val="000000"/>
          <w:sz w:val="20"/>
        </w:rPr>
        <w:t>The following Management’s Discussion and Analysis of Financial Condition and Results of Operations should be read in conjunction with the condensed consolidated financial statements (unaudited) and the accompanying notes thereto included in Part I, Item 1 of this Quarterly Report on Form 10-Q, the audited consolidated financial statements and the accompanying notes thereto in our Annual Report on Form 10-K for the fiscal year ended December 31, 2025</w:t>
      </w:r>
      <w:r>
        <w:rPr>
          <w:color w:val="000000"/>
        </w:rPr>
        <w:t xml:space="preserve"> </w:t>
      </w:r>
      <w:r>
        <w:rPr>
          <w:rFonts w:ascii="Times New Roman;serif" w:hAnsi="Times New Roman;serif"/>
          <w:b w:val="false"/>
          <w:i/>
          <w:color w:val="000000"/>
          <w:sz w:val="20"/>
        </w:rPr>
        <w:t>(the “2025 Form 10-K”), as well as the information contained under Management’s Discussion and Analysis of Financial Condition and Results of Operations and “Risk Factors” contained in the 2025 Form 10-K, and Part II, Item 1A “Risk Factors” of this Quarterly Report on Form 10-Q, and other information provided from time to time in our other filings with the SEC.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important factors, including those set forth under “Risk Factors” in our 2025 Form 10-K and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ANI Pharmaceuticals is a diversified bio-pharmaceutical company. The Company’s mission is “Serving Patients, Improving Lives” by developing, manufacturing, and commercializing therapeutics through its Rare Disease, Generics, and Brands businesses.</w:t>
      </w:r>
    </w:p>
    <w:p>
      <w:pPr>
        <w:pStyle w:val="TextBody"/>
        <w:bidi w:val="0"/>
        <w:spacing w:lineRule="auto" w:line="268" w:before="200" w:after="283"/>
        <w:jc w:val="left"/>
        <w:rPr/>
      </w:pPr>
      <w:r>
        <w:rPr>
          <w:rFonts w:ascii="Times New Roman;serif" w:hAnsi="Times New Roman;serif"/>
          <w:b w:val="false"/>
          <w:color w:val="000000"/>
          <w:sz w:val="20"/>
        </w:rPr>
        <w:t xml:space="preserve">On September 16, 2024, the Company acquired Alimera Sciences, Inc. (“Alimera”). In connection with the Merger, the Company added </w:t>
      </w:r>
      <w:r>
        <w:rPr>
          <w:rFonts w:ascii="Times New Roman;serif" w:hAnsi="Times New Roman;serif"/>
          <w:b w:val="false"/>
          <w:color w:val="000000"/>
          <w:sz w:val="20"/>
          <w:shd w:fill="FFFFFF" w:val="clear"/>
        </w:rPr>
        <w:t>a growing and durable franchise, ILUVIEN (fluocinolon</w:t>
      </w:r>
      <w:r>
        <w:rPr>
          <w:rFonts w:ascii="Times New Roman;serif" w:hAnsi="Times New Roman;serif"/>
          <w:b w:val="false"/>
          <w:color w:val="000000"/>
          <w:sz w:val="20"/>
        </w:rPr>
        <w:t>e acetonide intravitreal implant) 0.19 mg, which has received marketing authorization and reimbursement in the United States (“U.S.”) and 24 countries for the treatment of diabetic macular edema (“DME”) and YUTIQ (fluocinolone acetonide intravitreal implant) 0.18 mg, available in the U.S. for the treatment of non-infectious uveitis affecting the posterior segment of the eye (“NIU-PS”). Subsequent to the acquisition of Alimera, we expanded the label for ILUVIEN to include an indication for chronic NIU-PS in addition to its then-current indication in DME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owns and operates three pharmaceutical manufacturing facilities, which include two facilities in Baudette, Minnesota, and one in East Windsor, New Jersey, which collectively are capable of producing oral solid dose products, as well as semi-solids, liquids and topicals, controlled substances, and potent products that must be manufactured in a fully-contained environment.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objective is to build a sustainable and </w:t>
      </w:r>
      <w:r>
        <w:rPr>
          <w:rFonts w:ascii="Times New Roman;serif" w:hAnsi="Times New Roman;serif"/>
          <w:b w:val="false"/>
          <w:color w:val="000000"/>
          <w:sz w:val="20"/>
        </w:rPr>
        <w:t>growing</w:t>
      </w:r>
      <w:r>
        <w:rPr>
          <w:color w:val="000000"/>
          <w:shd w:fill="FFFFFF" w:val="clear"/>
        </w:rPr>
        <w:t xml:space="preserve"> </w:t>
      </w:r>
      <w:r>
        <w:rPr>
          <w:rFonts w:ascii="Times New Roman;serif" w:hAnsi="Times New Roman;serif"/>
          <w:b w:val="false"/>
          <w:color w:val="000000"/>
          <w:sz w:val="20"/>
          <w:shd w:fill="FFFFFF" w:val="clear"/>
        </w:rPr>
        <w:t>biopharmaceutical company serving patients in need and creating long-term value for our investors. Our overall strategy is enabled by an empowered, collaborative, and purposeful team with high performance-orienta</w:t>
      </w:r>
      <w:r>
        <w:rPr>
          <w:rFonts w:ascii="Times New Roman;serif" w:hAnsi="Times New Roman;serif"/>
          <w:b w:val="false"/>
          <w:color w:val="000000"/>
          <w:sz w:val="20"/>
        </w:rPr>
        <w:t>tion that seeks to deliver on our purpose of “Servin</w:t>
      </w:r>
      <w:r>
        <w:rPr>
          <w:rFonts w:ascii="Times New Roman;serif" w:hAnsi="Times New Roman;serif"/>
          <w:b w:val="false"/>
          <w:color w:val="000000"/>
          <w:sz w:val="20"/>
          <w:shd w:fill="FFFFFF" w:val="clear"/>
        </w:rPr>
        <w:t>g Patients, Improving Lives.”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strategy is driven by the following key growth drivers: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Building a Successful Rare Disease and Brands Segment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spend significant time, effort and resources in expanding our Rare Disease and Brands segment which consists of our Rare Disease and Brands portfolio of products.</w:t>
      </w:r>
    </w:p>
    <w:p>
      <w:pPr>
        <w:pStyle w:val="TextBody"/>
        <w:bidi w:val="0"/>
        <w:spacing w:lineRule="auto" w:line="288" w:before="200" w:after="283"/>
        <w:jc w:val="left"/>
        <w:rPr/>
      </w:pPr>
      <w:r>
        <w:rPr>
          <w:rFonts w:ascii="Times New Roman;serif" w:hAnsi="Times New Roman;serif"/>
          <w:b w:val="false"/>
          <w:color w:val="000000"/>
          <w:sz w:val="20"/>
        </w:rPr>
        <w:t>We acquired the NDAs for Purified Cortrophin® Gel (Repository Corticotropin Injection USP) (“Cortrophin Gel”) and Cortrophin-Zinc</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in January 2016 and executed long-term supply agreements with </w:t>
      </w:r>
      <w:r>
        <w:rPr>
          <w:rFonts w:ascii="Times New Roman;serif" w:hAnsi="Times New Roman;serif"/>
          <w:b w:val="false"/>
          <w:color w:val="000000"/>
          <w:sz w:val="20"/>
          <w:shd w:fill="FFFFFF" w:val="clear"/>
        </w:rPr>
        <w:t xml:space="preserve">a supplier of our primary raw material for corticotrophin API, a supplier of corticotrophin API with whom we have advanced the manufacture of commercial scale batches of API, and a Cortrophin Gel fill/finish contract manufacturer. </w:t>
      </w:r>
      <w:r>
        <w:rPr>
          <w:rFonts w:ascii="Times New Roman;serif" w:hAnsi="Times New Roman;serif"/>
          <w:b w:val="false"/>
          <w:color w:val="000000"/>
          <w:sz w:val="20"/>
        </w:rPr>
        <w:t xml:space="preserve">On October 29, 2021, the U.S. Food and Drug Administration (“FDA”) approved the Company’s Supplemental New Drug Application (“sNDA”) for Cortrophin Gel for the treatment of certain chronic autoimmune disorders, including acute exacerbations of multiple sclerosis (“MS”) and rheumatoid arthritis (“RA”), in addition to excess urinary protein due to nephrotic syndrome. Cortrophin Gel is an adrenocorticotropic hormone (“ACTH”), also known as purified corticotropin. </w:t>
      </w:r>
      <w:r>
        <w:rPr>
          <w:rFonts w:ascii="Times New Roman;serif" w:hAnsi="Times New Roman;serif"/>
          <w:b w:val="false"/>
          <w:color w:val="000000"/>
          <w:sz w:val="20"/>
          <w:shd w:fill="FFFFFF" w:val="clear"/>
        </w:rPr>
        <w:t>On January 24, 2022, we announced the commercial launch of Cortrophin Gel in the U.S. as our foundational Rare Disease asset.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28, 2025, the FDA approved a prefilled syringe format for Cortrophin Gel. This new presentation became available in 40 USP units/0.5 mL and 80 USP units/mL single-dose options through Cortrophin Gel’s established specialty pharmacy network during the second quarter of 2025. The prefilled syringe reduces administration steps for patients using Cortrophin Gel, which remains available in 5 mL and 1 mL vials.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2026, we are building a dedicated sales organization focused on acute gouty arthritis flares, an indication unique to Cortrophin Gel within the ACTH class. Our dedicated sales force will focus on the appropriate patient population through podiatry and primary care physicians, while our existing sales organization will continue to focus on appropriate acute gouty arthritis flare patients seen by rheumatologists and nephrologists.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September 2024, we acquired ILUVIEN and YUTIQ (together, the “Retina Franchise”) in connection with the acquisition of Alimera. The acquisition of Alimera strengthened our Rare Disease business and expanded our footprint beyond the U.S. through Alimera’s direct marketing operations in Germany, the United Kingdom (“UK”), Portugal, and Ireland, as well as its partnerships in Europe, Asia, and the Middle East. We believe that the Retina Franchise is durable with high barriers to genericization and a clear role for patients in need of alternative therapeutic options. Importantly, the addition of Alimera expanded the reach of the ophthalmology sales team and we believe there will be significant overlap between high potential prescribers of Cortrophin Gel and the Retina Franchise.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noted above, during March 2025, the FDA approved an expanded label for ILUVIEN (fluocinolone acetonide intravitreal implant) to include an indication for the treatment of chronic NIU-PS in addition to the then-current indication of DME. During the second quarter of 2025, we transitioned promotional efforts in the U.S. from YUTIQ to ILUVIEN with its combined label of DME and NIU-PS.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plan to continue to expand our Rare Disease business, through a combination of organic growth and acquisitions. While we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expand our existing capabilities.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Brands portion of the Rare Disease and Brands segment is comprised of various branded products. We have grown our Brands portfolio of products through acquisitions. We have acquired the NDAs for and market Atacand, Atacand HCT, Arimidex, Casodex, Inderal LA, Inderal XL, InnoPran XL, Inzirqo, Lithobid, Oxistat, Vancocin, and Veregen. We are innovating in our go-to-market strategy through creative partnerships and a sales force for these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Strengthening Our Generics and Other Segment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plan to strengthen our Generics and Other segment through continued investment in our research and development capabilities and increased focus on niche opportunities. We have grown our Generics business through a combination of market share gains on existing products and new product launches. We have also </w:t>
      </w:r>
      <w:r>
        <w:rPr>
          <w:rFonts w:ascii="Times New Roman;serif" w:hAnsi="Times New Roman;serif"/>
          <w:b w:val="false"/>
          <w:color w:val="000000"/>
          <w:sz w:val="20"/>
        </w:rPr>
        <w:t>successfully</w:t>
      </w:r>
      <w:r>
        <w:rPr>
          <w:color w:val="000000"/>
          <w:shd w:fill="FFFFFF" w:val="clear"/>
        </w:rPr>
        <w:t xml:space="preserve"> </w:t>
      </w:r>
      <w:r>
        <w:rPr>
          <w:rFonts w:ascii="Times New Roman;serif" w:hAnsi="Times New Roman;serif"/>
          <w:b w:val="false"/>
          <w:color w:val="000000"/>
          <w:sz w:val="20"/>
          <w:shd w:fill="FFFFFF" w:val="clear"/>
        </w:rPr>
        <w:t>acquired numerous ANDAs through business and asset acquisitions. Our most recent business acquisition in the Generics and Other segment was the acquisition of Novitium Pharma LLC (</w:t>
      </w:r>
      <w:r>
        <w:rPr>
          <w:color w:val="000000"/>
        </w:rPr>
        <w:t>“</w:t>
      </w:r>
      <w:r>
        <w:rPr>
          <w:rFonts w:ascii="Times New Roman;serif" w:hAnsi="Times New Roman;serif"/>
          <w:b w:val="false"/>
          <w:color w:val="000000"/>
          <w:sz w:val="20"/>
          <w:shd w:fill="FFFFFF" w:val="clear"/>
        </w:rPr>
        <w:t>Novitium</w:t>
      </w:r>
      <w:r>
        <w:rPr>
          <w:color w:val="000000"/>
        </w:rPr>
        <w:t>”</w:t>
      </w:r>
      <w:r>
        <w:rPr>
          <w:rFonts w:ascii="Times New Roman;serif" w:hAnsi="Times New Roman;serif"/>
          <w:b w:val="false"/>
          <w:color w:val="000000"/>
          <w:sz w:val="20"/>
          <w:shd w:fill="FFFFFF" w:val="clear"/>
        </w:rPr>
        <w:t xml:space="preserve">) in 2021, which included </w:t>
      </w:r>
      <w:r>
        <w:rPr>
          <w:rFonts w:ascii="Times New Roman;serif" w:hAnsi="Times New Roman;serif"/>
          <w:b w:val="false"/>
          <w:color w:val="000000"/>
          <w:sz w:val="20"/>
        </w:rPr>
        <w:t>Novitium’s</w:t>
      </w:r>
      <w:r>
        <w:rPr>
          <w:color w:val="000000"/>
          <w:shd w:fill="FFFFFF" w:val="clear"/>
        </w:rPr>
        <w:t xml:space="preserve"> </w:t>
      </w:r>
      <w:r>
        <w:rPr>
          <w:rFonts w:ascii="Times New Roman;serif" w:hAnsi="Times New Roman;serif"/>
          <w:b w:val="false"/>
          <w:color w:val="000000"/>
          <w:sz w:val="20"/>
          <w:shd w:fill="FFFFFF" w:val="clear"/>
        </w:rPr>
        <w:t>portfolio of commercial and pipeline generic products, manufacturing and development facilities and expert workforce. The Novitium acquisition significantly increased our generic pharmaceutical research and development and manufacturing capabiliti</w:t>
      </w:r>
      <w:r>
        <w:rPr>
          <w:rFonts w:ascii="Times New Roman;serif" w:hAnsi="Times New Roman;serif"/>
          <w:b w:val="false"/>
          <w:color w:val="000000"/>
          <w:sz w:val="20"/>
        </w:rPr>
        <w:t xml:space="preserve">es. We have begun to increase our focus on niche lower competition opportunities such as injectables, paragraph IV (“PIV”), and competitive generic therapy (“CGT”) designation filings. </w:t>
      </w:r>
    </w:p>
    <w:p>
      <w:pPr>
        <w:pStyle w:val="TextBody"/>
        <w:bidi w:val="0"/>
        <w:spacing w:lineRule="auto" w:line="288" w:before="200" w:after="283"/>
        <w:jc w:val="left"/>
        <w:rPr/>
      </w:pPr>
      <w:r>
        <w:rPr>
          <w:rFonts w:ascii="Times New Roman;serif" w:hAnsi="Times New Roman;serif"/>
          <w:b w:val="false"/>
          <w:color w:val="000000"/>
          <w:sz w:val="20"/>
        </w:rPr>
        <w:t>Additionally, we plan to continue to seek opportunities to enhance our capab</w:t>
      </w:r>
      <w:r>
        <w:rPr>
          <w:rFonts w:ascii="Times New Roman;serif" w:hAnsi="Times New Roman;serif"/>
          <w:b w:val="false"/>
          <w:color w:val="000000"/>
          <w:sz w:val="20"/>
          <w:shd w:fill="FFFFFF" w:val="clear"/>
        </w:rPr>
        <w:t xml:space="preserve">ilities through strategic partnerships and acquisitions of assets and businesses.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consider a variety of criteria in determining which products to develop. These criteria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shd w:fill="FFFFFF" w:val="clear"/>
        </w:rPr>
        <w:t>Formulation Complexity</w:t>
      </w:r>
      <w:r>
        <w:rPr>
          <w:rFonts w:ascii="Times New Roman;serif" w:hAnsi="Times New Roman;serif"/>
          <w:b w:val="false"/>
          <w:color w:val="000000"/>
          <w:sz w:val="20"/>
          <w:shd w:fill="FFFFFF" w:val="clear"/>
        </w:rPr>
        <w:t>. Our development and manufacturing capabilities enable us to manufacture pharmaceuticals that are differentiated</w:t>
      </w:r>
      <w:r>
        <w:rPr>
          <w:color w:val="000000"/>
        </w:rPr>
        <w:t xml:space="preserve"> </w:t>
      </w:r>
      <w:r>
        <w:rPr>
          <w:rFonts w:ascii="Times New Roman;serif" w:hAnsi="Times New Roman;serif"/>
          <w:b w:val="false"/>
          <w:color w:val="000000"/>
          <w:sz w:val="20"/>
          <w:shd w:fill="FFFFFF" w:val="clear"/>
        </w:rPr>
        <w:t>and include high potency, modified release, combination, and hormonal products. This ability to manufacture a variety of differentiated products is a competitive strength that we intend to leverage in selecting products to develop and commercialize.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shd w:fill="FFFFFF" w:val="clear"/>
        </w:rPr>
        <w:t>Market Size and Patient Need</w:t>
      </w:r>
      <w:r>
        <w:rPr>
          <w:rFonts w:ascii="Times New Roman;serif" w:hAnsi="Times New Roman;serif"/>
          <w:b w:val="false"/>
          <w:color w:val="000000"/>
          <w:sz w:val="20"/>
          <w:shd w:fill="FFFFFF" w:val="clear"/>
        </w:rPr>
        <w:t>. When determining whether to develop or acquire an individual product, we review the current and expected market size and competitive environment for that product. We endeavor to pursue products with sufficient market size to enable us to enter the market with a strong likelihood of serving patients in need and thus being able to price our products both competitively and at a profit.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shd w:fill="FFFFFF" w:val="clear"/>
        </w:rPr>
        <w:t>Profit Potential.</w:t>
      </w:r>
      <w:r>
        <w:rPr>
          <w:color w:val="000000"/>
          <w:shd w:fill="FFFFFF" w:val="clear"/>
        </w:rPr>
        <w:t xml:space="preserve"> </w:t>
      </w:r>
      <w:r>
        <w:rPr>
          <w:rFonts w:ascii="Times New Roman;serif" w:hAnsi="Times New Roman;serif"/>
          <w:b w:val="false"/>
          <w:color w:val="000000"/>
          <w:sz w:val="20"/>
          <w:shd w:fill="FFFFFF" w:val="clear"/>
        </w:rPr>
        <w:t>In determining the potential profit of a product, we forecast our anticipated market share, pricing, competitive environment and the estimated cost to manufacture the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shd w:fill="FFFFFF" w:val="clear"/>
        </w:rPr>
        <w:t xml:space="preserve">Manufacturing. </w:t>
      </w:r>
      <w:r>
        <w:rPr>
          <w:rFonts w:ascii="Times New Roman;serif" w:hAnsi="Times New Roman;serif"/>
          <w:b w:val="false"/>
          <w:color w:val="000000"/>
          <w:sz w:val="20"/>
          <w:shd w:fill="FFFFFF" w:val="clear"/>
        </w:rPr>
        <w:t xml:space="preserve">We generally seek to develop and manufacture products at our own manufacturing plants to ensure quality control of our products, supply chain reliability and to more closely control the economic inputs and outputs of our products.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i/>
          <w:color w:val="000000"/>
          <w:sz w:val="20"/>
          <w:shd w:fill="FFFFFF" w:val="clear"/>
        </w:rPr>
        <w:t xml:space="preserve">Competition. </w:t>
      </w:r>
      <w:r>
        <w:rPr>
          <w:rFonts w:ascii="Times New Roman;serif" w:hAnsi="Times New Roman;serif"/>
          <w:b w:val="false"/>
          <w:color w:val="000000"/>
          <w:sz w:val="20"/>
          <w:shd w:fill="FFFFFF" w:val="clear"/>
        </w:rPr>
        <w:t>When determining whether to develop or acquire a product, we research existing and expected competition. We seek to develop products for which we can obtain sufficient market share and may decline to develop a product if we anticipate significant competition. Our manufacturing facilities provide a means of entering niche markets, such as hormone therapies, in which fewer generic companies typically compete.</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Products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complete list of our generic and branded pharmaceutical products and descriptions is posted on our website, www.anipharmaceuticals.com. Information on, or accessible through, our website is not a part of, and is not incorporated into, this report or any other SEC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Impacts to our second quarter 2026 and 2025 results of operations, including to net revenues, operating expenses, interest and other expense, net, and income taxes are described below.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2"/>
        <w:gridCol w:w="1343"/>
        <w:gridCol w:w="1348"/>
        <w:gridCol w:w="109"/>
        <w:gridCol w:w="109"/>
        <w:gridCol w:w="109"/>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57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266,044 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211,371 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503,506 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408,493 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147,652 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158,299 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(10,815)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Unrealized gain (loss) on investment in equity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items in our unaudited condensed consolidated statements of operations as a percentage of net revenues:</w:t>
      </w:r>
    </w:p>
    <w:tbl>
      <w:tblPr>
        <w:tblW w:w="10205" w:type="dxa"/>
        <w:jc w:val="left"/>
        <w:tblInd w:w="0" w:type="dxa"/>
        <w:tblLayout w:type="fixed"/>
        <w:tblCellMar>
          <w:top w:w="28" w:type="dxa"/>
          <w:left w:w="28" w:type="dxa"/>
          <w:bottom w:w="28" w:type="dxa"/>
          <w:right w:w="28" w:type="dxa"/>
        </w:tblCellMar>
      </w:tblPr>
      <w:tblGrid>
        <w:gridCol w:w="1591"/>
        <w:gridCol w:w="1352"/>
        <w:gridCol w:w="1365"/>
        <w:gridCol w:w="109"/>
        <w:gridCol w:w="109"/>
        <w:gridCol w:w="109"/>
        <w:gridCol w:w="291"/>
        <w:gridCol w:w="220"/>
        <w:gridCol w:w="511"/>
        <w:gridCol w:w="205"/>
        <w:gridCol w:w="205"/>
        <w:gridCol w:w="205"/>
        <w:gridCol w:w="291"/>
        <w:gridCol w:w="220"/>
        <w:gridCol w:w="511"/>
        <w:gridCol w:w="109"/>
        <w:gridCol w:w="109"/>
        <w:gridCol w:w="109"/>
        <w:gridCol w:w="291"/>
        <w:gridCol w:w="220"/>
        <w:gridCol w:w="461"/>
        <w:gridCol w:w="185"/>
        <w:gridCol w:w="185"/>
        <w:gridCol w:w="185"/>
        <w:gridCol w:w="291"/>
        <w:gridCol w:w="220"/>
        <w:gridCol w:w="546"/>
      </w:tblGrid>
      <w:tr>
        <w:trPr/>
        <w:tc>
          <w:tcPr>
            <w:tcW w:w="159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(loss) on investment in equity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RESULTS OF OPERATIONS FOR THE THREE MONTHS ENDED JUNE 30, 2026 AND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Revenue</w:t>
      </w:r>
    </w:p>
    <w:tbl>
      <w:tblPr>
        <w:tblW w:w="9639" w:type="dxa"/>
        <w:jc w:val="left"/>
        <w:tblInd w:w="0" w:type="dxa"/>
        <w:tblLayout w:type="fixed"/>
        <w:tblCellMar>
          <w:top w:w="28" w:type="dxa"/>
          <w:left w:w="28" w:type="dxa"/>
          <w:bottom w:w="28" w:type="dxa"/>
          <w:right w:w="28" w:type="dxa"/>
        </w:tblCellMar>
      </w:tblPr>
      <w:tblGrid>
        <w:gridCol w:w="1362"/>
        <w:gridCol w:w="1199"/>
        <w:gridCol w:w="1203"/>
        <w:gridCol w:w="109"/>
        <w:gridCol w:w="109"/>
        <w:gridCol w:w="109"/>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306"/>
        <w:gridCol w:w="310"/>
        <w:gridCol w:w="61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Cortrophin 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ILUVIEN and YUTIQ</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Brand royalties and other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and Brands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generic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Generics and Other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There were no sales of YUTIQ during the quarters ended March 31, 2026 and June 30, 2026, as the Company transitioned promotional efforts in the U.S. from YUTIQ to ILUVIEN, which has a combined label of DME and NIU-PS during the second quarter of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derive substantially all of our revenues from sales of our Rare Disease, Brands and Generics portfolios of pharmaceutical products, as well as from other sources of revenue such as milestones, royalties on net sales of certain products, and other pharmaceutical services. Our Rare Disease products face competition from other brand products in many of the therapeutic categories in which they are sold. Essentially all of our Generics products face competition from other generic products, as do many of our Brands products, and we expect them to continue to face competition from generic products in the future. The primary means of competition among generic manufacturers are pricing, contract terms, service levels, and reliability. Increased competition generally results in decreased average selling prices of generic and brands products over time. In addition, due to strategic partnerships between wholesalers and pharmacy chains, we have experienced, and expect to continue to experience, increases in net sales to the wholesalers, with corresponding decreases in net sales to the pharmacy chains.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the three months ended June 30, 2026 were $266.0 million compared to $211.4 million for the same period in 2025, an increase of 25.9%, primarily as a result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Net revenues from Rare Disease and Brands, which includes our Rare Disease and Brands portfolios of pharmaceutical products, royalties, and other revenues were $165.4 million during the three months ended June 30, 2026, an increase of $48.2 million, compared to $117.2 million for the same period in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revenues for Rare Disease pharmaceutical products were $135.8 million during the three months ended June 30, 2026, an increase of $31.9 million from $104.0 million for the same period in 2025. This increase was driven by increased volume of Cortrophin Gel from overall ACTH market growth and market share gains. ILUVIEN net revenues were $18.7 million in the second quarter, down 16% from the prior year period.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revenues for Brands portfolio of pharmaceutical products were $11.8 million during the three months ended June 30, 2026, a decrease of $1.4 million compared to $13.2 million for the same period in 2025, driven by a net decrease in demand for certain products during the second quarter.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revenues for Brand royalties and other revenues during the three months ended June 30, 2026, includes royalties of approximately $9.7 million, and $8.0 million of revenue associated with development milestones satisfied over time, related to the Harmony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 xml:space="preserve">Net revenues from Generics and Other, which includes our generic pharmaceutical products, sales of contract manufactured products, royalties on contract manufactured products, and other pharmaceutical services, were $100.7 million during the three months ended June 30, 2026, an increase of 6.8% compared to $94.2 million for the same period in 2025, primarily as a result of the following: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Generic pharmaceutical products net revenues were $99.1 million during the three months ended June 30, 2026, an increase of $8.8 million over the prior year. This increase was driven by a partnered product launched in the third quarter of 2025, and increased volumes from the benefit of new product launches during 2026. From a product perspective, in addition to the partnered product cited above, the increase was principally driven by revenues from year over year increases in products such as MAS ER, Vancomycin, among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generic net revenues were down modestly for the three months ended June 30, 2026, compared to the same time in the prior year due to fewer contract manufacturing shipments and lower royalties during the period.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Cost of Sales (Excluding Depreciation and Amortization)</w:t>
      </w:r>
    </w:p>
    <w:tbl>
      <w:tblPr>
        <w:tblW w:w="10205" w:type="dxa"/>
        <w:jc w:val="left"/>
        <w:tblInd w:w="0" w:type="dxa"/>
        <w:tblLayout w:type="fixed"/>
        <w:tblCellMar>
          <w:top w:w="28" w:type="dxa"/>
          <w:left w:w="28" w:type="dxa"/>
          <w:bottom w:w="28" w:type="dxa"/>
          <w:right w:w="28" w:type="dxa"/>
        </w:tblCellMar>
      </w:tblPr>
      <w:tblGrid>
        <w:gridCol w:w="1602"/>
        <w:gridCol w:w="1409"/>
        <w:gridCol w:w="1407"/>
        <w:gridCol w:w="109"/>
        <w:gridCol w:w="109"/>
        <w:gridCol w:w="109"/>
        <w:gridCol w:w="219"/>
        <w:gridCol w:w="859"/>
        <w:gridCol w:w="112"/>
        <w:gridCol w:w="112"/>
        <w:gridCol w:w="112"/>
        <w:gridCol w:w="112"/>
        <w:gridCol w:w="219"/>
        <w:gridCol w:w="751"/>
        <w:gridCol w:w="112"/>
        <w:gridCol w:w="109"/>
        <w:gridCol w:w="109"/>
        <w:gridCol w:w="109"/>
        <w:gridCol w:w="211"/>
        <w:gridCol w:w="721"/>
        <w:gridCol w:w="109"/>
        <w:gridCol w:w="109"/>
        <w:gridCol w:w="109"/>
        <w:gridCol w:w="109"/>
        <w:gridCol w:w="255"/>
        <w:gridCol w:w="256"/>
        <w:gridCol w:w="646"/>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4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labor, including manufacturing and packaging, active and inactive pharmaceutical ingredients, freight costs, packaging components, royalties payable, and profit-sharing arrangements. Cost of sales does not include depreciation and amortization expense, which is reported as a separate component of operating expenses on our unaudited condensed consolidated statements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cost of sales increased to $100.2 million from $74.6 million for the same period in 2025, an increase of $25.5 million, or 34.2%. The increase is primarily due to significant net growth in sales volumes of pharmaceutical products and significant growth of royalty bearing products, including Cortrophin Gel, and other products in our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of sales, as a percentage of net revenues, increased to 37.6% from 35.3% for the three months ended June 30, 2026, compared to the same period in 2025, primarily due to a shift in product mix year over year and an increase in sales of products that bear a royalty payable, and the non-recurrence of prior year sales from Prucalopride. These effects were somewhat tempered by the revenue recognized under the Harmony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no single vendor represented more than 10% of our raw inventory purchases.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Operating Expenses, net</w:t>
      </w:r>
    </w:p>
    <w:tbl>
      <w:tblPr>
        <w:tblW w:w="9878" w:type="dxa"/>
        <w:jc w:val="left"/>
        <w:tblInd w:w="0" w:type="dxa"/>
        <w:tblLayout w:type="fixed"/>
        <w:tblCellMar>
          <w:top w:w="28" w:type="dxa"/>
          <w:left w:w="28" w:type="dxa"/>
          <w:bottom w:w="28" w:type="dxa"/>
          <w:right w:w="28" w:type="dxa"/>
        </w:tblCellMar>
      </w:tblPr>
      <w:tblGrid>
        <w:gridCol w:w="1433"/>
        <w:gridCol w:w="1262"/>
        <w:gridCol w:w="1264"/>
        <w:gridCol w:w="109"/>
        <w:gridCol w:w="109"/>
        <w:gridCol w:w="109"/>
        <w:gridCol w:w="211"/>
        <w:gridCol w:w="828"/>
        <w:gridCol w:w="109"/>
        <w:gridCol w:w="109"/>
        <w:gridCol w:w="109"/>
        <w:gridCol w:w="109"/>
        <w:gridCol w:w="211"/>
        <w:gridCol w:w="828"/>
        <w:gridCol w:w="109"/>
        <w:gridCol w:w="109"/>
        <w:gridCol w:w="109"/>
        <w:gridCol w:w="109"/>
        <w:gridCol w:w="211"/>
        <w:gridCol w:w="691"/>
        <w:gridCol w:w="109"/>
        <w:gridCol w:w="109"/>
        <w:gridCol w:w="109"/>
        <w:gridCol w:w="109"/>
        <w:gridCol w:w="344"/>
        <w:gridCol w:w="346"/>
        <w:gridCol w:w="614"/>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total other operating expenses, net increased to $125.4 million from $122.9 million for the same period in 2025, an increase of $2.6 million, or 2.1%, primarily as a result of the following factors:</w:t>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Research and development expenses during the three months ended June 30, 2026 decreased from $16.5 million to $14.7 million, a decrease of approximately $1.8 million, primarily due to timing of activity associated with ongoing and new projects to support future growth of Rare Disease and Generics.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Selling, general, and administrative expenses increased from $81.8 million to $91.7 million, primarily resulting from increased investment in Rare Disease sales and marketing infrastructure, related to our expansion of the Rare Disease team which is targeting opportunities in acute gouty arthritis, and an overall increase in activities to support the growth of our business, tempered by lower legal costs, compared to the same period in 2025.</w:t>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Depreciation and amortization expense was $19.6 million for the three months ended June 30, 2026, compared to $23.3 million for the same period in 2025, a decrease of approximately $3.6 million, primarily related to certain definite-lived intangibles that have been fully amortized during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recognized a net gain of approximately $0.6 million for the three months ended June 30, 2026 related to changes in our contingent consideration liabilities, which are measured at fair value. The net gain resulted from the adjustment of future forecasted cash flows and includes primarily: (1) a $0.5 million reduction related to the Alimera contingent value rights; and (2) a $0.1 million decrease in contingent consideration related to the Novitium acquisition.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Expense, net</w:t>
      </w:r>
    </w:p>
    <w:tbl>
      <w:tblPr>
        <w:tblW w:w="9928" w:type="dxa"/>
        <w:jc w:val="left"/>
        <w:tblInd w:w="0" w:type="dxa"/>
        <w:tblLayout w:type="fixed"/>
        <w:tblCellMar>
          <w:top w:w="28" w:type="dxa"/>
          <w:left w:w="28" w:type="dxa"/>
          <w:bottom w:w="28" w:type="dxa"/>
          <w:right w:w="28" w:type="dxa"/>
        </w:tblCellMar>
      </w:tblPr>
      <w:tblGrid>
        <w:gridCol w:w="1520"/>
        <w:gridCol w:w="1338"/>
        <w:gridCol w:w="1341"/>
        <w:gridCol w:w="109"/>
        <w:gridCol w:w="109"/>
        <w:gridCol w:w="109"/>
        <w:gridCol w:w="235"/>
        <w:gridCol w:w="772"/>
        <w:gridCol w:w="121"/>
        <w:gridCol w:w="121"/>
        <w:gridCol w:w="121"/>
        <w:gridCol w:w="121"/>
        <w:gridCol w:w="235"/>
        <w:gridCol w:w="772"/>
        <w:gridCol w:w="121"/>
        <w:gridCol w:w="109"/>
        <w:gridCol w:w="109"/>
        <w:gridCol w:w="109"/>
        <w:gridCol w:w="215"/>
        <w:gridCol w:w="475"/>
        <w:gridCol w:w="109"/>
        <w:gridCol w:w="109"/>
        <w:gridCol w:w="109"/>
        <w:gridCol w:w="109"/>
        <w:gridCol w:w="344"/>
        <w:gridCol w:w="346"/>
        <w:gridCol w:w="640"/>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4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total other expense, net of $3.4 million as compared to total other expense, net of $3.4 million for the same period in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recorded an unrealized gain on investment in equity securities of approximately $0.7 million for the three months ended June 30, 2026, compared to an unrealized gain of approximately $0.3 million in the same period in 2025, which is based on the mark to market fair value of equity securities held in CG Oncology as of the balance sheet date.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Interest expense, net for the three months ended June 30, 2026 consists primarily of coupon interest expense on borrowings under our outstanding debt and amortization of deferred financing costs on these debt instruments, interest income earned on our bank balances, and interest earned on our interest rate swap. Interest income earned on our bank balances increased approximately $1.2 million and interest expense related to our outstanding debt decreased approximately $0.8 million resulting in an increase of interest income of approximately $2.0 million. This impact was partially offset by a decrease of interest earned on our interest rate swap of approximately $0.2 million, compared to the same period in the prior year.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Other (expense) income, net, for the three months ended June 30, 2026 and 2025 consists primarily of unrealized foreign exchange gains and losses related to our Alimera UK subsidiary.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Income Tax Expense</w:t>
      </w:r>
    </w:p>
    <w:tbl>
      <w:tblPr>
        <w:tblW w:w="7625"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308"/>
        <w:gridCol w:w="308"/>
        <w:gridCol w:w="640"/>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of current and deferred components, which include changes in our deferred tax assets, our deferred tax liabilities, and our valuation allowance. See Note 11 “Income Taxes” in the notes to the unaudited condensed consolidated financial statements in Part I, Item 1 of this Quarterly Report on Form 10-Q for further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income tax expense was approximately $12.4 million. Our effective tax rate of 33.4% of pre-tax income for the current year was determined based on our pre-tax income, statutory tax rates and the tax impacts of certain discrete items for the three months ended June 30, 2026, which impact our income tax expense in the period in which they occur. The effective tax rate differed from the federal statutory rate of 21% primarily due to state taxes and disallowed officers' compensation partially offset by excess tax benefits recognized upon settlement of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our income tax expense was approximately $2.0 million. Our effective tax rate was 18.8% of pre-tax income reported in the period, as well as the net effect of certain discrete items for the three months ended June 30, 2025 which impact our income tax expense in the period in which they occur. Discrete items during the second quarter of 2025 relate predominately to favorable return to provision adjustments attributable to certain foreign tax returns filed during the quarter.</w:t>
      </w:r>
    </w:p>
    <w:p>
      <w:pPr>
        <w:pStyle w:val="TextBody"/>
        <w:bidi w:val="0"/>
        <w:spacing w:lineRule="auto" w:line="268" w:before="200" w:after="283"/>
        <w:jc w:val="left"/>
        <w:rPr>
          <w:rFonts w:ascii="Times New Roman;serif" w:hAnsi="Times New Roman;serif"/>
          <w:b/>
          <w:i/>
          <w:color w:val="000000"/>
          <w:sz w:val="20"/>
        </w:rPr>
      </w:pPr>
      <w:r>
        <w:rPr>
          <w:rFonts w:ascii="Times New Roman;serif" w:hAnsi="Times New Roman;serif"/>
          <w:b/>
          <w:i/>
          <w:color w:val="000000"/>
          <w:sz w:val="20"/>
        </w:rPr>
        <w:t>RESULTS OF OPERATIONS FOR THE SIX MONTHS ENDED JUNE 30, 2026 AND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Revenue</w:t>
      </w:r>
    </w:p>
    <w:tbl>
      <w:tblPr>
        <w:tblW w:w="9635" w:type="dxa"/>
        <w:jc w:val="left"/>
        <w:tblInd w:w="0" w:type="dxa"/>
        <w:tblLayout w:type="fixed"/>
        <w:tblCellMar>
          <w:top w:w="28" w:type="dxa"/>
          <w:left w:w="28" w:type="dxa"/>
          <w:bottom w:w="28" w:type="dxa"/>
          <w:right w:w="28" w:type="dxa"/>
        </w:tblCellMar>
      </w:tblPr>
      <w:tblGrid>
        <w:gridCol w:w="1362"/>
        <w:gridCol w:w="1199"/>
        <w:gridCol w:w="120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6"/>
        <w:gridCol w:w="310"/>
        <w:gridCol w:w="61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and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Cortrophin 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ILUVIEN and YUTIQ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Brand royalties and other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Rare Disease and Brands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Generics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generic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Generics and Other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There were no sales of YUTIQ during the quarters ended March 31, 2026 and June 30, 2026, as the Company transitioned promotional efforts in the U.S. from YUTIQ to ILUVIEN, which had a combined label of DME and NIU-PS during the second quarter of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the six months ended June 30, 2026 were $503.5 million compared to $408.5 million for the same period in 2025, an increase of 23.3%, primarily as a result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Net revenues from Rare Disease and Brands, which includes our Rare Disease and Brands portfolios of pharmaceutical products, royalties, and other revenues were $293.6 million during the six months ended June 30, 2026, an increase of $82.4 million, compared to $211.2 million for the same period in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revenues for Rare Disease pharmaceutical products were $230.2 million during the six months ended June 30, 2026, an increase of $57.3 million from $172.9 million for the same period in 2025. This increase was driven by increased volume of Cortrophin Gel from overall ACTH market growth and market share gains. Net revenues for ILUVIEN were down modestly for the six months ended June 30, 2026, compared to the same time in the prior year.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revenues for Brands portfolio of pharmaceutical products were $24.1 million during the six months ended June 30, 2026, a decrease of $14.2 million compared to $38.3 million for the same period in 2025, driven by a net decrease in demand for certain products during the first half of 2026, compared to the same time in the prior year.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revenues for Brand royalties and other revenues during the six months ended June 30, 2026, includes a $15.0 million upfront payment, associated royalties of approximately $16.3 million, and $8.0 million of revenue associated with development milestones satisfied over time, related to the Harmony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Net revenues from Generics and Other, which includes our generic pharmaceutical products, sales of contract manufactured products, royalties on contract manufactured products, and other pharmaceutical services, were $209.9 million during the six months ended June 30, 2026, an increase of $12.6 million compared to $197.3 million for the same period in 2025, primarily as a result of the following: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Generic pharmaceutical products net revenues were $204.5 million during the six months ended June 30, 2026, an increase of $15.5 million over the prior year. This increase was driven by a partnered product launched in the third quarter of 2025, and increased volumes from the benefit of new product launches during 2026. From a product perspective, in addition to the partnered product cited above, the increase was principally driven by revenues from year over year increases in products such as Vancomycin and MAS ER, among others, tempered by decreased sales of Prucalopride.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generic net revenues was down modestly for the six months ended June 30, 2026, compared to the same time in the prior year due to fewer contract manufacturing shipments during the period.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Cost of Sales (Excluding Depreciation and Amortization)</w:t>
      </w:r>
    </w:p>
    <w:tbl>
      <w:tblPr>
        <w:tblW w:w="10205" w:type="dxa"/>
        <w:jc w:val="left"/>
        <w:tblInd w:w="0" w:type="dxa"/>
        <w:tblLayout w:type="fixed"/>
        <w:tblCellMar>
          <w:top w:w="28" w:type="dxa"/>
          <w:left w:w="28" w:type="dxa"/>
          <w:bottom w:w="28" w:type="dxa"/>
          <w:right w:w="28" w:type="dxa"/>
        </w:tblCellMar>
      </w:tblPr>
      <w:tblGrid>
        <w:gridCol w:w="1609"/>
        <w:gridCol w:w="1415"/>
        <w:gridCol w:w="1414"/>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5"/>
      </w:tblGrid>
      <w:tr>
        <w:trPr/>
        <w:tc>
          <w:tcPr>
            <w:tcW w:w="16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4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cost of sales increased to $193.7 million from $147.7 million for the same period in 2025, an increase of $46.1 million, or 31.2%. The increase is primarily due to significant net growth in sales volumes of pharmaceutical products and significant growth of royalty bearing products, including Cortrophin Gel, and other products in our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of sales, as a percentage of net revenues, increased to 38.5% from 36.1% for the six months ended June 30, 2026, compared to the same period in 2025, primarily due to a shift in product mix year over year, an increase in sales of products that bear a royalty payable, and the non-recurrence of prior year sales from Prucalopride. These effects were somewhat tempered by the revenue recognized under the Harmony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approximately 23% of our raw material inventory purchases were from one domestic supplier. During the six months ended June 30, 2025, approximately 23% of our raw material inventory purchases were from one domestic supplier.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Operating Expenses, net</w:t>
      </w:r>
    </w:p>
    <w:tbl>
      <w:tblPr>
        <w:tblW w:w="9770" w:type="dxa"/>
        <w:jc w:val="left"/>
        <w:tblInd w:w="0" w:type="dxa"/>
        <w:tblLayout w:type="fixed"/>
        <w:tblCellMar>
          <w:top w:w="28" w:type="dxa"/>
          <w:left w:w="28" w:type="dxa"/>
          <w:bottom w:w="28" w:type="dxa"/>
          <w:right w:w="28" w:type="dxa"/>
        </w:tblCellMar>
      </w:tblPr>
      <w:tblGrid>
        <w:gridCol w:w="1433"/>
        <w:gridCol w:w="1262"/>
        <w:gridCol w:w="1264"/>
        <w:gridCol w:w="109"/>
        <w:gridCol w:w="109"/>
        <w:gridCol w:w="10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93"/>
        <w:gridCol w:w="293"/>
        <w:gridCol w:w="614"/>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total other operating expenses, net increased to $230.4 million from $220.8 million for the same period in 2025, an increase of $9.7 million, or 4.4%, primarily as a result of the following factors:</w:t>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Research and development expenses during the six months ended June 30, 2026 decreased from $27.1 million to $25.3 million, a decrease of approximately $1.8 million, primarily due to timing of activity associated with ongoing and new projects to support future growth of Rare Disease and Generics.</w:t>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Selling, general, and administrative expenses increased from $158.3 million to $165.3 million, an increase of approximately $7.0 million, and includes increased investment in Rare Disease sales and marketing infrastructure, related to our expansion of the Rare Disease team which is targeting opportunities in acute gouty arthritis, and an overall increase in activities to support the growth of our business, compared to the same period in 2025, offset by a litigation settlement received of $9.0 million, and a decrease of approximately $2.3 million in transaction and integration costs related to the Alimera acquisition.</w:t>
      </w:r>
    </w:p>
    <w:p>
      <w:pPr>
        <w:pStyle w:val="TextBody"/>
        <w:bidi w:val="0"/>
        <w:spacing w:lineRule="auto" w:line="268" w:before="200" w:after="283"/>
        <w:ind w:left="0" w:right="0" w:hanging="360"/>
        <w:jc w:val="left"/>
        <w:rPr/>
      </w:pPr>
      <w:r>
        <w:rPr>
          <w:color w:val="000000"/>
        </w:rPr>
        <w:t>•</w:t>
      </w:r>
      <w:r>
        <w:rPr>
          <w:rFonts w:ascii="Times New Roman;serif" w:hAnsi="Times New Roman;serif"/>
          <w:b w:val="false"/>
          <w:color w:val="000000"/>
          <w:sz w:val="20"/>
        </w:rPr>
        <w:t>Depreciation and amortization expense was $40.6 million for the six months ended June 30, 2026, compared to $46.2 million for the same period in 2025, a decrease of approximately $5.6 million, primarily related to certain definite-lived intangibles that have been fully amortized during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recognized a net gain of approximately $0.8 million for the six months ended June 30, 2026 related to changes in our contingent consideration liabilities, which are measured at fair value. The net gain resulted from the adjustment of future forecasted cash flows and includes primarily: (1) a $0.9 million reduction related to the Alimera contingent value rights; and (2) a $0.2 million increase in contingent consideration related to the Novitium acquisition.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(Expense), net</w:t>
      </w:r>
    </w:p>
    <w:tbl>
      <w:tblPr>
        <w:tblW w:w="10205" w:type="dxa"/>
        <w:jc w:val="left"/>
        <w:tblInd w:w="0" w:type="dxa"/>
        <w:tblLayout w:type="fixed"/>
        <w:tblCellMar>
          <w:top w:w="28" w:type="dxa"/>
          <w:left w:w="28" w:type="dxa"/>
          <w:bottom w:w="28" w:type="dxa"/>
          <w:right w:w="28" w:type="dxa"/>
        </w:tblCellMar>
      </w:tblPr>
      <w:tblGrid>
        <w:gridCol w:w="1643"/>
        <w:gridCol w:w="1444"/>
        <w:gridCol w:w="1447"/>
        <w:gridCol w:w="109"/>
        <w:gridCol w:w="109"/>
        <w:gridCol w:w="109"/>
        <w:gridCol w:w="213"/>
        <w:gridCol w:w="697"/>
        <w:gridCol w:w="109"/>
        <w:gridCol w:w="109"/>
        <w:gridCol w:w="109"/>
        <w:gridCol w:w="109"/>
        <w:gridCol w:w="213"/>
        <w:gridCol w:w="697"/>
        <w:gridCol w:w="109"/>
        <w:gridCol w:w="109"/>
        <w:gridCol w:w="109"/>
        <w:gridCol w:w="109"/>
        <w:gridCol w:w="211"/>
        <w:gridCol w:w="616"/>
        <w:gridCol w:w="109"/>
        <w:gridCol w:w="109"/>
        <w:gridCol w:w="109"/>
        <w:gridCol w:w="109"/>
        <w:gridCol w:w="383"/>
        <w:gridCol w:w="383"/>
        <w:gridCol w:w="623"/>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(loss) on investment in equity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total other expense, net of $2.0 million as compared to total other expense, net of $9.6 million for the same period in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recorded an unrealized gain on investment in equity securities of approximately $6.5 million for the six months ended June 30, 2026, compared to an unrealized loss of approximately $0.6 million in the same period in 2025, which is based on the mark to market fair value of equity securities held in CG Oncology as of the balance sheet date.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Interest expense, net for the six months ended June 30, 2026 consists primarily of coupon interest expense on borrowings under our outstanding debt and amortization of deferred financing costs on these debt instruments, interest income earned on our bank balances, and interest earned on our interest rate swap. Interest income earned on our bank balances increased approximately $2.5 million and interest expense related to our outstanding debt decreased approximately $1.4 million, resulting in an increase of interest income of approximately $3.9 million. This impact was partially offset by a decrease of interest earned on our interest rate swap of approximately $0.5 million, compared to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Other (expense) income, net, for the six months ended June 30, 2026 and 2025 consists primarily of unrealized foreign exchange gains and losses related to our Alimera UK subsidiary.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Income Tax Expense</w:t>
      </w:r>
    </w:p>
    <w:tbl>
      <w:tblPr>
        <w:tblW w:w="7355"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218"/>
        <w:gridCol w:w="746"/>
        <w:gridCol w:w="112"/>
        <w:gridCol w:w="112"/>
        <w:gridCol w:w="112"/>
        <w:gridCol w:w="112"/>
        <w:gridCol w:w="218"/>
        <w:gridCol w:w="637"/>
        <w:gridCol w:w="112"/>
        <w:gridCol w:w="109"/>
        <w:gridCol w:w="109"/>
        <w:gridCol w:w="109"/>
        <w:gridCol w:w="211"/>
        <w:gridCol w:w="721"/>
        <w:gridCol w:w="109"/>
        <w:gridCol w:w="109"/>
        <w:gridCol w:w="109"/>
        <w:gridCol w:w="109"/>
        <w:gridCol w:w="308"/>
        <w:gridCol w:w="308"/>
        <w:gridCol w:w="61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income tax expense was approximately $23.1 million. Our effective tax rate of 29.9% of pre-tax income for the current year was determined based on our pre-tax income, statutory tax rates and the tax impacts of certain discrete items for the six months ended June 30, 2026, which impact our income tax expense in the period in which they occur. The effective tax rate differed from the federal statutory rate of 21% primarily due to state taxes and disallowed officers’ compensation partially offset by excess tax benefits recognized upon settlement of 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our income tax expense was approximately $6.3 million. Our effective tax rate was 20.6% of pre-tax income reported in the period, as well as the net effect of certain discrete items for the six months ended June 30, 2025 which impact our income tax expense in the period in which they occur. Discrete items are primarily related to excess tax benefits recognized upon settlement of stock'based compensation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LIQUIDITY AND CAPITAL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is cash generated from operations, available cash on hand, and borrowings under our Term Loan and Convertible Notes as discussed and defined in Note 4 “2024 Credit Agreement” and Note 5 “2.25% Convertible Senior Notes” in the notes to the unaudited condensed consolidated financial statements in Part I, Item 1 of this Quarterly Report on Form 10-Q.</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13, 2024, we entered into a credit agreement (the “2024 Credit Agreement”) with JPMorgan Chase Bank, N.A., and other financial institutions, which provides for aggregate principal commitments consisting of (i) a senior secured delayed-draw term loan facility in an aggregate principal amount of $325.0 million (the “TLA”), and (ii) a senior secured revolving credit facility in an aggregate commitment amount of $75.0 million, which may be used for revolving credit loans, swingline loans and letters of credit (the “TLA Revolver” and together with the TLA, the “2024 Credit Facility”). As of June 30, 2026, the outstanding principal under our 2024 Credit Agreement was approximately $304.7 million, with $74.9 million remaining available for borrowing under the TLA Revolver. We also maintain an interest rate swap with a notional value of $139.4 million at an effective fixed rate of 2.313% to manage SOFR-based variable interest rate exposure on a portion of the borrowings under the 2024 Credit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13, 2024, the Company completed an offering of $316.3 million aggregate principal amount of the Company’s Convertible Senior Notes due 2029 (the “Notes”). The Notes are due September 1, 2029, unless earlier repurchased, redeemed, or converted. The Notes accrue interest at a rate of 2.25% per annum, payable semi-annually in arrears on March 1 and September 1 of each year, beginning on March 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primary contractual obligations over the next twelve months consist of quarterly principal payments and monthly interest on the 2024 Credit Facility and semi-annual interest payments on the Notes, as discussed in Note 4 “2024 Credit Agreement” and Note 5 “2.25% Convertible Senior Notes” in the notes to the unaudited condensed consolidated financial statements in Part I, Item 1 of this Quarterly Report on Form 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$360.2 million and $285.6 million, respectively, in unrestricted cash and cash equivalents. The majority of our cash balances are held in interest bearing and non-interest bearing accounts in U.S.-based financial institutions that are guaranteed by the Federal Deposit Insurance Corporation (“FDIC”) up to $250 thousand. The majority of our cash balances are in excess of FDIC coverage, which we consider to be a normal business risk. In addition, we have cash and cash equivalents held in international bank accounts that are denominated in various foreign currencies, specifically in Canada, the United Kingdom, Germany, Ireland, Portugal, and India.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focused on expanding our business and product pipeline through acquisitions of products and companies as well as internal research and development. We are continually evaluating potential asset acquisitions and business combinations. To finance such acquisitions, we might raise additional equity capital, incur additional debt,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financial resources, consisting of current working capital, anticipated future operating revenue and corresponding collections from customers, and available borrowings under the 2024 Credit Facility, and our Notes, will be sufficient to enable us to meet our working capital requirements and debt obligations for at least the next 12 months from the date of filing of this report, and for the foreseeable future thereafter. If our assumptions underlying estimated revenue and expenses are wrong, or if our cash requirements change materially as a result of shifts in our business or strategy, we could require additional financing. If we are not able to maintain profitability in future years or are not able to continue to generate cash from operations as anticipated and additional capital is needed to support operations, we may be unable to obtain such financing, or obtain it on favorable terms, in which case we may be required to curtail development of new products, limit expansion of operations, or accept financing terms that are not as attractive as desired.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Discussion of 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cash and cash equivalents provided by operating activities, used in investing activities, and used in financing activities for the periods indicated:</w:t>
      </w:r>
    </w:p>
    <w:tbl>
      <w:tblPr>
        <w:tblW w:w="4776" w:type="dxa"/>
        <w:jc w:val="left"/>
        <w:tblInd w:w="0" w:type="dxa"/>
        <w:tblLayout w:type="fixed"/>
        <w:tblCellMar>
          <w:top w:w="28" w:type="dxa"/>
          <w:left w:w="28" w:type="dxa"/>
          <w:bottom w:w="28" w:type="dxa"/>
          <w:right w:w="28" w:type="dxa"/>
        </w:tblCellMar>
      </w:tblPr>
      <w:tblGrid>
        <w:gridCol w:w="646"/>
        <w:gridCol w:w="569"/>
        <w:gridCol w:w="570"/>
        <w:gridCol w:w="109"/>
        <w:gridCol w:w="109"/>
        <w:gridCol w:w="109"/>
        <w:gridCol w:w="211"/>
        <w:gridCol w:w="826"/>
        <w:gridCol w:w="109"/>
        <w:gridCol w:w="109"/>
        <w:gridCol w:w="109"/>
        <w:gridCol w:w="109"/>
        <w:gridCol w:w="211"/>
        <w:gridCol w:w="82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Provided by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$115.0 million for the six months ended June 30, 2026, compared to net cash provided by operating activities of $110.8 million during the same period in 2025, an increase of $4.2 million. The increase in cash provided by operating activities primarily resulted from our net income of $54.2 million adjusted for non-cash items, and an increase in our working capital accounts driven by the growth of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2026 was $14.4 million, which includes the acquisition of intangible assets of approximately $5.3 million and capital expenditures of approximately $9.1 million. Net cash used in investing activities for the six months ended June 30, 2025 was $26.8 million, principally due to the payment for the exercise of an option by the Company to buy-out royalties owed to SWK Funding LLC in connection with the Company’s acquisition of Alimera, and purchases of other intangible assets of approximately $20.3 million and capital expenditures of approximately $6.5 million.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2026 was $26.3 million, resulting from $20.6 million of treasury stock purchases for restricted stock vests and principal payments on our 2024 Credit Facility of $8.1 million, offset by proceeds received from stock option exercises and 2016 Employee Stock Purchase Plan (“ESPP”) purchases of approximately $2.5 million. Net cash used in financing activities for the six months ended June 30, 2025 was $11.7 million, principally resulting from $10.6 million of treasury stock purchases for restricted stock vests, principal payment on our 2024 Credit Facility of $4.1 million, offset by proceeds received from stock option exercises and ESPP 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CRITICAL ACCOUNTING ESTIMATES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There have been no material changes to our critical accounting policies and estimates as disclosed in </w:t>
      </w:r>
      <w:r>
        <w:rPr>
          <w:rFonts w:ascii="Times New Roman;serif" w:hAnsi="Times New Roman;serif"/>
          <w:b w:val="false"/>
          <w:color w:val="000000"/>
          <w:sz w:val="20"/>
        </w:rPr>
        <w:t>Part II, Item 8. Consolidated Financial Statements, Note 1, “Description of Business and Summary of Significant Accounting Policies”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 risks include interest rate risk, equity risk, foreign currency exchange rate risk, commodity price risk, and other relevant market rate or price risks. Of these risks, interest rate risk, equity risk, and foreign currency exchange rate risk could have a significant impact on our results of operations. There have been no material changes in our exposure to market risks since the end of the most recent fiscal year as reported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has carried out an evaluation, under the supervision and with the participation of our principal executive officer and principal financial officer, of the effectiveness of the design and operation of our disclosure controls and procedures (as defined in Rules 13a-15(e) and 15d-15(e) under the Exchange Act), as of June 30, 2026. Based upon that evaluation, our principal executive officer and principal financial officer concluded that, as of the end of the period covered by this report, our disclosure controls and procedures were effective at the reasonable assurance level. In designing and evaluating our disclosure controls and procedures, we recognize that any controls and procedures, no matter how well designed and operated, can provide only reasonable assurance of achieving the desired control objectives.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Please refer to Note 12 “Commitments and Contingencies” in the condensed consolidated financial statements (unaudited) included in Part I, Item 1 of this Quarterly Report on Form 10-Q, which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please carefully consider the factors described under the heading “Risk Factors” in our 2025 Form 10-K in Part I, Item 1A. The risks described are not the only risks facing us. Additional risks and uncertainties not currently known to us, or that our management currently deems to be immaterial, also may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repurchases of equity securities pursuant to a repurchase plan or program during the three months ended June 30, 2026.</w:t>
      </w:r>
    </w:p>
    <w:tbl>
      <w:tblPr>
        <w:tblW w:w="9914" w:type="dxa"/>
        <w:jc w:val="left"/>
        <w:tblInd w:w="0" w:type="dxa"/>
        <w:tblLayout w:type="fixed"/>
        <w:tblCellMar>
          <w:top w:w="28" w:type="dxa"/>
          <w:left w:w="28" w:type="dxa"/>
          <w:bottom w:w="28" w:type="dxa"/>
          <w:right w:w="28" w:type="dxa"/>
        </w:tblCellMar>
      </w:tblPr>
      <w:tblGrid>
        <w:gridCol w:w="732"/>
        <w:gridCol w:w="645"/>
        <w:gridCol w:w="647"/>
        <w:gridCol w:w="109"/>
        <w:gridCol w:w="109"/>
        <w:gridCol w:w="109"/>
        <w:gridCol w:w="434"/>
        <w:gridCol w:w="434"/>
        <w:gridCol w:w="436"/>
        <w:gridCol w:w="109"/>
        <w:gridCol w:w="109"/>
        <w:gridCol w:w="109"/>
        <w:gridCol w:w="307"/>
        <w:gridCol w:w="898"/>
        <w:gridCol w:w="159"/>
        <w:gridCol w:w="109"/>
        <w:gridCol w:w="109"/>
        <w:gridCol w:w="109"/>
        <w:gridCol w:w="614"/>
        <w:gridCol w:w="614"/>
        <w:gridCol w:w="616"/>
        <w:gridCol w:w="109"/>
        <w:gridCol w:w="109"/>
        <w:gridCol w:w="109"/>
        <w:gridCol w:w="565"/>
        <w:gridCol w:w="1090"/>
        <w:gridCol w:w="415"/>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pPr>
            <w:r>
              <w:rPr>
                <w:rFonts w:ascii="Times New Roman;serif" w:hAnsi="Times New Roman;serif"/>
                <w:b/>
                <w:color w:val="000000"/>
                <w:sz w:val="20"/>
              </w:rPr>
              <w:t xml:space="preserve">Purchased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Purchased as</w:t>
              <w:br/>
              <w:t>Part of Publicly</w:t>
              <w:br/>
              <w:t xml:space="preserve">Announced Plans or </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(or</w:t>
              <w:br/>
              <w:t>approximate dollar</w:t>
              <w:br/>
              <w:t>value) of Shares</w:t>
              <w:br/>
              <w:t>that may yet be</w:t>
              <w:br/>
              <w:t>Purchased Under the</w:t>
              <w:br/>
              <w:t>Plans or Programs</w:t>
            </w:r>
          </w:p>
        </w:tc>
      </w:tr>
      <w:tr>
        <w:trPr/>
        <w:tc>
          <w:tcPr>
            <w:tcW w:w="20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Shares purchased during the period were transferred to the Company from employees in satisfaction of minimum tax withholding obligations associated with the vesting of restricted stock awards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Trading Arrangements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directors and executive officers may from time to time enter into plans or other arrangements for the purchase or sale of our common stock that are intended to satisfy the affirmative defense conditions of Rule 10b5-1(c) under the Exchange Act or may represent a “non-Rule 10b5-1 trading arrangement” (as defined in Item 408(c) of Regulation 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26, 2026, Nikhil Lalwani, President and Chief Executive Officer, adopted a Rule 10b5-1 trading plan. Mr. Lalwani's Rule 10b5-1 trading plan provides for a term commencing on August 25, 2026 and ending on December 31, 2026 for the sale of up to 26,990 shares of common stock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11, 2026, Renee Tannenbaum, member of the Board of Directors of the Company, adopted a Rule 10b5-1 trading plan. Ms. Tannenbaum's Rule 10b5-1 trading plan provides for a term commencing on September 10, 2026 and ending on December 31, 2026 for the sale of up to 6,655 shares of common stock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12, 2026, Jeanne Thoma, member of the Board of Directors of the Company, adopted a Rule 10b5-1 trading plan. Ms. Thoma's Rule 10b5-1 trading plan provides for a term commencing on September 11, 2026 and ending on December 31, 2026 for the sale of up to 5,395 shares of common stock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pPr>
      <w:r>
        <w:rPr>
          <w:rFonts w:ascii="Times New Roman;serif" w:hAnsi="Times New Roman;serif"/>
          <w:b w:val="false"/>
          <w:color w:val="000000"/>
          <w:sz w:val="20"/>
        </w:rPr>
        <w:t xml:space="preserve">The exhibits listed in the Index to </w:t>
      </w:r>
      <w:r>
        <w:rPr>
          <w:rFonts w:ascii="Times New Roman;serif" w:hAnsi="Times New Roman;serif"/>
          <w:b w:val="false"/>
          <w:color w:val="000000"/>
          <w:sz w:val="24"/>
        </w:rPr>
        <w:t>Exhibits</w:t>
      </w:r>
      <w:r>
        <w:rPr>
          <w:rFonts w:ascii="Times New Roman;serif" w:hAnsi="Times New Roman;serif"/>
          <w:b w:val="false"/>
          <w:color w:val="000000"/>
          <w:sz w:val="20"/>
        </w:rPr>
        <w:t>, which is incorporated herein by reference, are filed or furnished as part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17"/>
        <w:gridCol w:w="279"/>
        <w:gridCol w:w="280"/>
        <w:gridCol w:w="109"/>
        <w:gridCol w:w="109"/>
        <w:gridCol w:w="109"/>
        <w:gridCol w:w="2624"/>
        <w:gridCol w:w="2624"/>
        <w:gridCol w:w="3754"/>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ANI Pharmaceuticals, Inc. 2022 Stock Incentive Plan (incorporated by reference to Exhibit 10.1 to the Company’s Current Report on Form 8-K filed with the Securities and Exchange Commission on May 21, 2026 (File No. 001-31812).</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nip-20260630x10qxexx311.htm">
              <w:r>
                <w:rPr>
                  <w:rStyle w:val="InternetLink"/>
                  <w:rFonts w:ascii="Times New Roman;serif" w:hAnsi="Times New Roman;serif"/>
                  <w:b w:val="false"/>
                  <w:color w:val="0000FF"/>
                  <w:sz w:val="20"/>
                  <w:u w:val="single"/>
                </w:rPr>
                <w:t>Certification of Chief Executive Officer pursuant to Section 302 of the Sarbanes-Oxley Act of 2002, Rule 13(a)-14(a)/15d-14(a).</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nip-20260630x10qxexx312.htm">
              <w:r>
                <w:rPr>
                  <w:rStyle w:val="InternetLink"/>
                  <w:rFonts w:ascii="Times New Roman;serif" w:hAnsi="Times New Roman;serif"/>
                  <w:b w:val="false"/>
                  <w:color w:val="0000FF"/>
                  <w:sz w:val="20"/>
                  <w:u w:val="single"/>
                </w:rPr>
                <w:t>Certification of Chief Financial Officer pursuant to Section 302 of the Sarbanes-Oxley Act of 2002, Rule 13(a)-14(a)/15d-14(a).</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nip-20260630x10qxexx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In accordance with SEC Release 33-8238, Exhibit 32.1 is being furnished and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6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504"/>
        <w:gridCol w:w="504"/>
        <w:gridCol w:w="504"/>
        <w:gridCol w:w="1064"/>
        <w:gridCol w:w="1064"/>
        <w:gridCol w:w="15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 Pharmaceuticals, Inc. (Registrant)</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Nikhil Lalwani</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Nikhil Lalwani</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Carey</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Carey</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Nikhil Lalwani,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ANI Pharmaceuticals,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59" w:type="dxa"/>
        <w:jc w:val="center"/>
        <w:tblInd w:w="0" w:type="dxa"/>
        <w:tblLayout w:type="fixed"/>
        <w:tblCellMar>
          <w:top w:w="28" w:type="dxa"/>
          <w:left w:w="28" w:type="dxa"/>
          <w:bottom w:w="28" w:type="dxa"/>
          <w:right w:w="28" w:type="dxa"/>
        </w:tblCellMar>
      </w:tblPr>
      <w:tblGrid>
        <w:gridCol w:w="667"/>
        <w:gridCol w:w="587"/>
        <w:gridCol w:w="590"/>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Nikhil Lalwani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Nikhil Lalwani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Stephen P. Carey,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ANI Pharmaceuticals,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719" w:type="dxa"/>
        <w:jc w:val="center"/>
        <w:tblInd w:w="0" w:type="dxa"/>
        <w:tblLayout w:type="fixed"/>
        <w:tblCellMar>
          <w:top w:w="28" w:type="dxa"/>
          <w:left w:w="28" w:type="dxa"/>
          <w:bottom w:w="28" w:type="dxa"/>
          <w:right w:w="28" w:type="dxa"/>
        </w:tblCellMar>
      </w:tblPr>
      <w:tblGrid>
        <w:gridCol w:w="667"/>
        <w:gridCol w:w="587"/>
        <w:gridCol w:w="590"/>
        <w:gridCol w:w="1421"/>
        <w:gridCol w:w="1421"/>
        <w:gridCol w:w="20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Carey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Carey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ANI Pharmaceuticals, Inc. (the “Company”) for the quarterly period ended June 30, 2026 (the “Report”) as filed with the Securities and Exchange Commission on the date hereof, the undersigned Chief Executive Officer and Chief Financial Officer of the Company hereby certify that, to such officer’s knowledge: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provided solely pursuant to 18 U.S.C. Section 1350, as adopted pursuant to Section 906 of the Sarbanes-Oxley Act of 2002.</w:t>
      </w:r>
    </w:p>
    <w:tbl>
      <w:tblPr>
        <w:tblW w:w="5159" w:type="dxa"/>
        <w:jc w:val="left"/>
        <w:tblInd w:w="0" w:type="dxa"/>
        <w:tblLayout w:type="fixed"/>
        <w:tblCellMar>
          <w:top w:w="28" w:type="dxa"/>
          <w:left w:w="28" w:type="dxa"/>
          <w:bottom w:w="28" w:type="dxa"/>
          <w:right w:w="28" w:type="dxa"/>
        </w:tblCellMar>
      </w:tblPr>
      <w:tblGrid>
        <w:gridCol w:w="705"/>
        <w:gridCol w:w="619"/>
        <w:gridCol w:w="625"/>
        <w:gridCol w:w="938"/>
        <w:gridCol w:w="938"/>
        <w:gridCol w:w="133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Nikhil Lalwani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Nikhil Lalwani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6824" w:type="dxa"/>
        <w:jc w:val="left"/>
        <w:tblInd w:w="0" w:type="dxa"/>
        <w:tblLayout w:type="fixed"/>
        <w:tblCellMar>
          <w:top w:w="28" w:type="dxa"/>
          <w:left w:w="28" w:type="dxa"/>
          <w:bottom w:w="28" w:type="dxa"/>
          <w:right w:w="28" w:type="dxa"/>
        </w:tblCellMar>
      </w:tblPr>
      <w:tblGrid>
        <w:gridCol w:w="705"/>
        <w:gridCol w:w="619"/>
        <w:gridCol w:w="625"/>
        <w:gridCol w:w="1421"/>
        <w:gridCol w:w="1421"/>
        <w:gridCol w:w="203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Carey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Carey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3024/000102302426000056/amendedandrestatedanipharm.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27273</Words>
  <Characters>150091</Characters>
  <CharactersWithSpaces>175629</CharactersWithSpaces>
  <Paragraphs>3452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