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330246.xml.htm"/>
      <w:bookmarkStart w:id="1" w:name="kswkform4_17093302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Cook Meredith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 MAIN STREET WEST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BAUDETTE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56623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SEC.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02/29/2024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02/29/2024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67.67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60,231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tax purposes exempt under Rule 16(b)-3 in connection with the vesting of 3,039 shares of restricted stock, the grant of which was previously reported.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8861" TargetMode="External"/><Relationship Id="rId4" Type="http://schemas.openxmlformats.org/officeDocument/2006/relationships/hyperlink" Target="http://www.sec.gov/cgi-bin/browse-edgar?action=getcompany&amp;CIK=000102302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3209</Characters>
  <CharactersWithSpaces>3738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