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591820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608965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32"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2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2"/>
          <w:szCs w:val="12"/>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5, 2026</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ANI PHARMACEUTICALS,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159"/>
        </w:trPr>
        <w:tc>
          <w:tcPr>
            <w:tcW w:w="39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920" w:type="dxa"/>
            <w:vAlign w:val="bottom"/>
            <w:gridSpan w:val="2"/>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w w:val="99"/>
              </w:rPr>
              <w:t>001-31812</w:t>
            </w:r>
          </w:p>
        </w:tc>
        <w:tc>
          <w:tcPr>
            <w:tcW w:w="920" w:type="dxa"/>
            <w:vAlign w:val="bottom"/>
          </w:tcPr>
          <w:p>
            <w:pPr>
              <w:spacing w:after="0"/>
              <w:rPr>
                <w:sz w:val="13"/>
                <w:szCs w:val="13"/>
                <w:color w:val="auto"/>
              </w:rPr>
            </w:pPr>
          </w:p>
        </w:tc>
        <w:tc>
          <w:tcPr>
            <w:tcW w:w="3580" w:type="dxa"/>
            <w:vAlign w:val="bottom"/>
          </w:tcPr>
          <w:p>
            <w:pPr>
              <w:jc w:val="right"/>
              <w:ind w:right="1560"/>
              <w:spacing w:after="0"/>
              <w:rPr>
                <w:sz w:val="20"/>
                <w:szCs w:val="20"/>
                <w:color w:val="auto"/>
              </w:rPr>
            </w:pPr>
            <w:r>
              <w:rPr>
                <w:rFonts w:ascii="Times New Roman" w:cs="Times New Roman" w:eastAsia="Times New Roman" w:hAnsi="Times New Roman"/>
                <w:sz w:val="12"/>
                <w:szCs w:val="12"/>
                <w:b w:val="1"/>
                <w:bCs w:val="1"/>
                <w:color w:val="auto"/>
              </w:rPr>
              <w:t>58-2301143</w:t>
            </w:r>
          </w:p>
        </w:tc>
      </w:tr>
      <w:tr>
        <w:trPr>
          <w:trHeight w:val="169"/>
        </w:trPr>
        <w:tc>
          <w:tcPr>
            <w:tcW w:w="390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640" w:type="dxa"/>
            <w:vAlign w:val="bottom"/>
          </w:tcPr>
          <w:p>
            <w:pPr>
              <w:spacing w:after="0"/>
              <w:rPr>
                <w:sz w:val="14"/>
                <w:szCs w:val="14"/>
                <w:color w:val="auto"/>
              </w:rPr>
            </w:pPr>
          </w:p>
        </w:tc>
        <w:tc>
          <w:tcPr>
            <w:tcW w:w="3200" w:type="dxa"/>
            <w:vAlign w:val="bottom"/>
            <w:gridSpan w:val="2"/>
          </w:tcPr>
          <w:p>
            <w:pPr>
              <w:jc w:val="center"/>
              <w:ind w:right="96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580" w:type="dxa"/>
            <w:vAlign w:val="bottom"/>
          </w:tcPr>
          <w:p>
            <w:pPr>
              <w:ind w:left="80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155"/>
        </w:trPr>
        <w:tc>
          <w:tcPr>
            <w:tcW w:w="390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incorporation)</w:t>
            </w:r>
          </w:p>
        </w:tc>
        <w:tc>
          <w:tcPr>
            <w:tcW w:w="6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318"/>
        </w:trPr>
        <w:tc>
          <w:tcPr>
            <w:tcW w:w="3900" w:type="dxa"/>
            <w:vAlign w:val="bottom"/>
          </w:tcPr>
          <w:p>
            <w:pPr>
              <w:jc w:val="center"/>
              <w:ind w:left="1680"/>
              <w:spacing w:after="0"/>
              <w:rPr>
                <w:sz w:val="20"/>
                <w:szCs w:val="20"/>
                <w:color w:val="auto"/>
              </w:rPr>
            </w:pPr>
            <w:r>
              <w:rPr>
                <w:rFonts w:ascii="Times New Roman" w:cs="Times New Roman" w:eastAsia="Times New Roman" w:hAnsi="Times New Roman"/>
                <w:sz w:val="12"/>
                <w:szCs w:val="12"/>
                <w:b w:val="1"/>
                <w:bCs w:val="1"/>
                <w:color w:val="auto"/>
              </w:rPr>
              <w:t>104 Carnegie Center Drive, Suite 300</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59"/>
        </w:trPr>
        <w:tc>
          <w:tcPr>
            <w:tcW w:w="3900" w:type="dxa"/>
            <w:vAlign w:val="bottom"/>
          </w:tcPr>
          <w:p>
            <w:pPr>
              <w:jc w:val="center"/>
              <w:ind w:left="1660"/>
              <w:spacing w:after="0"/>
              <w:rPr>
                <w:sz w:val="20"/>
                <w:szCs w:val="20"/>
                <w:color w:val="auto"/>
              </w:rPr>
            </w:pPr>
            <w:r>
              <w:rPr>
                <w:rFonts w:ascii="Times New Roman" w:cs="Times New Roman" w:eastAsia="Times New Roman" w:hAnsi="Times New Roman"/>
                <w:sz w:val="12"/>
                <w:szCs w:val="12"/>
                <w:b w:val="1"/>
                <w:bCs w:val="1"/>
                <w:color w:val="auto"/>
                <w:w w:val="99"/>
              </w:rPr>
              <w:t>Princeton, New Jersey</w:t>
            </w:r>
          </w:p>
        </w:tc>
        <w:tc>
          <w:tcPr>
            <w:tcW w:w="6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80" w:type="dxa"/>
            <w:vAlign w:val="bottom"/>
          </w:tcPr>
          <w:p>
            <w:pPr>
              <w:jc w:val="right"/>
              <w:ind w:right="2640"/>
              <w:spacing w:after="0"/>
              <w:rPr>
                <w:sz w:val="20"/>
                <w:szCs w:val="20"/>
                <w:color w:val="auto"/>
              </w:rPr>
            </w:pPr>
            <w:r>
              <w:rPr>
                <w:rFonts w:ascii="Times New Roman" w:cs="Times New Roman" w:eastAsia="Times New Roman" w:hAnsi="Times New Roman"/>
                <w:sz w:val="12"/>
                <w:szCs w:val="12"/>
                <w:b w:val="1"/>
                <w:bCs w:val="1"/>
                <w:color w:val="auto"/>
              </w:rPr>
              <w:t>08540</w:t>
            </w:r>
          </w:p>
        </w:tc>
      </w:tr>
      <w:tr>
        <w:trPr>
          <w:trHeight w:val="180"/>
        </w:trPr>
        <w:tc>
          <w:tcPr>
            <w:tcW w:w="3900" w:type="dxa"/>
            <w:vAlign w:val="bottom"/>
          </w:tcPr>
          <w:p>
            <w:pPr>
              <w:jc w:val="center"/>
              <w:ind w:left="166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580" w:type="dxa"/>
            <w:vAlign w:val="bottom"/>
          </w:tcPr>
          <w:p>
            <w:pPr>
              <w:jc w:val="center"/>
              <w:ind w:right="2060"/>
              <w:spacing w:after="0"/>
              <w:rPr>
                <w:sz w:val="20"/>
                <w:szCs w:val="20"/>
                <w:color w:val="auto"/>
              </w:rPr>
            </w:pPr>
            <w:r>
              <w:rPr>
                <w:rFonts w:ascii="Times New Roman" w:cs="Times New Roman" w:eastAsia="Times New Roman" w:hAnsi="Times New Roman"/>
                <w:sz w:val="12"/>
                <w:szCs w:val="12"/>
                <w:color w:val="auto"/>
              </w:rPr>
              <w:t>(Zip Code)</w:t>
            </w:r>
          </w:p>
        </w:tc>
      </w:tr>
      <w:tr>
        <w:trPr>
          <w:trHeight w:val="342"/>
        </w:trPr>
        <w:tc>
          <w:tcPr>
            <w:tcW w:w="3900" w:type="dxa"/>
            <w:vAlign w:val="bottom"/>
          </w:tcPr>
          <w:p>
            <w:pPr>
              <w:spacing w:after="0"/>
              <w:rPr>
                <w:sz w:val="24"/>
                <w:szCs w:val="24"/>
                <w:color w:val="auto"/>
              </w:rPr>
            </w:pPr>
          </w:p>
        </w:tc>
        <w:tc>
          <w:tcPr>
            <w:tcW w:w="38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(609) 759-1810</w:t>
            </w:r>
          </w:p>
        </w:tc>
        <w:tc>
          <w:tcPr>
            <w:tcW w:w="3580" w:type="dxa"/>
            <w:vAlign w:val="bottom"/>
          </w:tcPr>
          <w:p>
            <w:pPr>
              <w:spacing w:after="0"/>
              <w:rPr>
                <w:sz w:val="24"/>
                <w:szCs w:val="24"/>
                <w:color w:val="auto"/>
              </w:rPr>
            </w:pPr>
          </w:p>
        </w:tc>
      </w:tr>
      <w:tr>
        <w:trPr>
          <w:trHeight w:val="250"/>
        </w:trPr>
        <w:tc>
          <w:tcPr>
            <w:tcW w:w="3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580" w:type="dxa"/>
            <w:vAlign w:val="bottom"/>
          </w:tcPr>
          <w:p>
            <w:pPr>
              <w:spacing w:after="0"/>
              <w:rPr>
                <w:sz w:val="21"/>
                <w:szCs w:val="21"/>
                <w:color w:val="auto"/>
              </w:rPr>
            </w:pPr>
          </w:p>
        </w:tc>
      </w:tr>
      <w:tr>
        <w:trPr>
          <w:trHeight w:val="155"/>
        </w:trPr>
        <w:tc>
          <w:tcPr>
            <w:tcW w:w="3900" w:type="dxa"/>
            <w:vAlign w:val="bottom"/>
          </w:tcPr>
          <w:p>
            <w:pPr>
              <w:spacing w:after="0"/>
              <w:rPr>
                <w:sz w:val="13"/>
                <w:szCs w:val="13"/>
                <w:color w:val="auto"/>
              </w:rPr>
            </w:pPr>
          </w:p>
        </w:tc>
        <w:tc>
          <w:tcPr>
            <w:tcW w:w="38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w w:val="99"/>
              </w:rPr>
              <w:t>(Former name or former address, if changed since last report.)</w:t>
            </w:r>
          </w:p>
        </w:tc>
        <w:tc>
          <w:tcPr>
            <w:tcW w:w="3580" w:type="dxa"/>
            <w:vAlign w:val="bottom"/>
          </w:tcPr>
          <w:p>
            <w:pPr>
              <w:spacing w:after="0"/>
              <w:rPr>
                <w:sz w:val="13"/>
                <w:szCs w:val="13"/>
                <w:color w:val="auto"/>
              </w:rPr>
            </w:pPr>
          </w:p>
        </w:tc>
      </w:tr>
      <w:tr>
        <w:trPr>
          <w:trHeight w:val="261"/>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6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580" w:type="dxa"/>
            <w:vAlign w:val="bottom"/>
          </w:tcPr>
          <w:p>
            <w:pPr>
              <w:spacing w:after="0"/>
              <w:rPr>
                <w:sz w:val="22"/>
                <w:szCs w:val="22"/>
                <w:color w:val="auto"/>
              </w:rPr>
            </w:pPr>
          </w:p>
        </w:tc>
      </w:tr>
      <w:tr>
        <w:trPr>
          <w:trHeight w:val="90"/>
        </w:trPr>
        <w:tc>
          <w:tcPr>
            <w:tcW w:w="39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r>
      <w:tr>
        <w:trPr>
          <w:trHeight w:val="140"/>
        </w:trPr>
        <w:tc>
          <w:tcPr>
            <w:tcW w:w="390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35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Name of each exchange on which</w:t>
            </w:r>
          </w:p>
        </w:tc>
      </w:tr>
      <w:tr>
        <w:trPr>
          <w:trHeight w:val="164"/>
        </w:trPr>
        <w:tc>
          <w:tcPr>
            <w:tcW w:w="3900" w:type="dxa"/>
            <w:vAlign w:val="bottom"/>
            <w:tcBorders>
              <w:left w:val="single" w:sz="8" w:color="auto"/>
              <w:bottom w:val="single" w:sz="8" w:color="auto"/>
            </w:tcBorders>
          </w:tcPr>
          <w:p>
            <w:pPr>
              <w:jc w:val="center"/>
              <w:ind w:left="560"/>
              <w:spacing w:after="0"/>
              <w:rPr>
                <w:sz w:val="20"/>
                <w:szCs w:val="20"/>
                <w:color w:val="auto"/>
              </w:rPr>
            </w:pPr>
            <w:r>
              <w:rPr>
                <w:rFonts w:ascii="Times New Roman" w:cs="Times New Roman" w:eastAsia="Times New Roman" w:hAnsi="Times New Roman"/>
                <w:sz w:val="12"/>
                <w:szCs w:val="12"/>
                <w:color w:val="auto"/>
              </w:rPr>
              <w:t>Title of each class</w:t>
            </w:r>
          </w:p>
        </w:tc>
        <w:tc>
          <w:tcPr>
            <w:tcW w:w="64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920" w:type="dxa"/>
            <w:vAlign w:val="bottom"/>
            <w:tcBorders>
              <w:bottom w:val="single" w:sz="8" w:color="auto"/>
            </w:tcBorders>
          </w:tcPr>
          <w:p>
            <w:pPr>
              <w:spacing w:after="0"/>
              <w:rPr>
                <w:sz w:val="14"/>
                <w:szCs w:val="14"/>
                <w:color w:val="auto"/>
              </w:rPr>
            </w:pPr>
          </w:p>
        </w:tc>
        <w:tc>
          <w:tcPr>
            <w:tcW w:w="35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2"/>
                <w:szCs w:val="12"/>
                <w:color w:val="auto"/>
              </w:rPr>
              <w:t>registered</w:t>
            </w:r>
          </w:p>
        </w:tc>
      </w:tr>
      <w:tr>
        <w:trPr>
          <w:trHeight w:val="169"/>
        </w:trPr>
        <w:tc>
          <w:tcPr>
            <w:tcW w:w="3900" w:type="dxa"/>
            <w:vAlign w:val="bottom"/>
            <w:tcBorders>
              <w:left w:val="single" w:sz="8" w:color="auto"/>
              <w:bottom w:val="single" w:sz="8" w:color="auto"/>
            </w:tcBorders>
          </w:tcPr>
          <w:p>
            <w:pPr>
              <w:jc w:val="center"/>
              <w:ind w:left="560"/>
              <w:spacing w:after="0"/>
              <w:rPr>
                <w:sz w:val="20"/>
                <w:szCs w:val="20"/>
                <w:color w:val="auto"/>
              </w:rPr>
            </w:pPr>
            <w:r>
              <w:rPr>
                <w:rFonts w:ascii="Times New Roman" w:cs="Times New Roman" w:eastAsia="Times New Roman" w:hAnsi="Times New Roman"/>
                <w:sz w:val="12"/>
                <w:szCs w:val="12"/>
                <w:color w:val="auto"/>
              </w:rPr>
              <w:t>Common Stock</w:t>
            </w:r>
          </w:p>
        </w:tc>
        <w:tc>
          <w:tcPr>
            <w:tcW w:w="64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ANIP</w:t>
            </w:r>
          </w:p>
        </w:tc>
        <w:tc>
          <w:tcPr>
            <w:tcW w:w="920" w:type="dxa"/>
            <w:vAlign w:val="bottom"/>
            <w:tcBorders>
              <w:bottom w:val="single" w:sz="8" w:color="auto"/>
            </w:tcBorders>
          </w:tcPr>
          <w:p>
            <w:pPr>
              <w:spacing w:after="0"/>
              <w:rPr>
                <w:sz w:val="14"/>
                <w:szCs w:val="14"/>
                <w:color w:val="auto"/>
              </w:rPr>
            </w:pPr>
          </w:p>
        </w:tc>
        <w:tc>
          <w:tcPr>
            <w:tcW w:w="3580" w:type="dxa"/>
            <w:vAlign w:val="bottom"/>
            <w:tcBorders>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2"/>
                <w:szCs w:val="12"/>
                <w:color w:val="auto"/>
              </w:rPr>
              <w:t>Nasdaq Stock Market</w:t>
            </w:r>
          </w:p>
        </w:tc>
      </w:tr>
    </w:tbl>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1"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13"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22"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13"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4"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485140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235"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On November 5, 2026, ANI Pharmaceuticals, Inc. (the “Company”) issued a press release announcing its financial results for the third quarter ended September 30, 2026. A copy of the press release is furnished herewith as Exhibit 99.1.*</w:t>
      </w:r>
    </w:p>
    <w:p>
      <w:pPr>
        <w:spacing w:after="0" w:line="14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24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On November 5, 2026, the Company provided a presentation in connection with a conference call and webcast that will be held on November 5, 2026 with analysts and investors regarding its third quarter 2026 results and the proposed Egetis Therapeutics acquisition. A copy of the presentation will be published to the investor relations section of its website and is attached as Exhibit 99.2 hereto and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2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Exhibits</w:t>
            </w:r>
          </w:p>
        </w:tc>
      </w:tr>
      <w:tr>
        <w:trPr>
          <w:trHeight w:val="369"/>
        </w:trPr>
        <w:tc>
          <w:tcPr>
            <w:tcW w:w="1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11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4"/>
        </w:trPr>
        <w:tc>
          <w:tcPr>
            <w:tcW w:w="38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No.</w:t>
            </w:r>
          </w:p>
        </w:tc>
        <w:tc>
          <w:tcPr>
            <w:tcW w:w="7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99.1</w:t>
            </w:r>
          </w:p>
        </w:tc>
        <w:tc>
          <w:tcPr>
            <w:tcW w:w="780" w:type="dxa"/>
            <w:vAlign w:val="bottom"/>
          </w:tcPr>
          <w:p>
            <w:pPr>
              <w:spacing w:after="0"/>
              <w:rPr>
                <w:sz w:val="13"/>
                <w:szCs w:val="13"/>
                <w:color w:val="auto"/>
              </w:rPr>
            </w:pPr>
          </w:p>
        </w:tc>
        <w:tc>
          <w:tcPr>
            <w:tcW w:w="2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of the Company, dated November 5, 2026</w:t>
            </w:r>
          </w:p>
        </w:tc>
      </w:tr>
      <w:tr>
        <w:trPr>
          <w:trHeight w:val="160"/>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99.2</w:t>
            </w:r>
          </w:p>
        </w:tc>
        <w:tc>
          <w:tcPr>
            <w:tcW w:w="780" w:type="dxa"/>
            <w:vAlign w:val="bottom"/>
          </w:tcPr>
          <w:p>
            <w:pPr>
              <w:spacing w:after="0"/>
              <w:rPr>
                <w:sz w:val="13"/>
                <w:szCs w:val="1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Presentation of the Company, dated November 5, 2026</w:t>
            </w: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3" w:lineRule="exact"/>
        <w:rPr>
          <w:sz w:val="20"/>
          <w:szCs w:val="20"/>
          <w:color w:val="auto"/>
        </w:rPr>
      </w:pPr>
    </w:p>
    <w:p>
      <w:pPr>
        <w:ind w:left="1160" w:hanging="1156"/>
        <w:spacing w:after="0"/>
        <w:tabs>
          <w:tab w:leader="none" w:pos="11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 the Inline XBRL document)</w:t>
      </w:r>
    </w:p>
    <w:p>
      <w:pPr>
        <w:spacing w:after="0" w:line="231" w:lineRule="exact"/>
        <w:rPr>
          <w:rFonts w:ascii="Times New Roman" w:cs="Times New Roman" w:eastAsia="Times New Roman" w:hAnsi="Times New Roman"/>
          <w:sz w:val="12"/>
          <w:szCs w:val="12"/>
          <w:color w:val="auto"/>
        </w:rPr>
      </w:pPr>
    </w:p>
    <w:p>
      <w:pPr>
        <w:ind w:left="100" w:right="20" w:hanging="108"/>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The information in Item 2.02 and Item 7.01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845" w:right="3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2"/>
          <w:szCs w:val="12"/>
          <w:color w:val="auto"/>
        </w:rPr>
        <w:t>Dated: November 5, 2026</w:t>
      </w:r>
      <w:r>
        <w:rPr>
          <w:sz w:val="20"/>
          <w:szCs w:val="20"/>
          <w:color w:val="auto"/>
        </w:rPr>
        <w:tab/>
      </w:r>
      <w:r>
        <w:rPr>
          <w:rFonts w:ascii="Times New Roman" w:cs="Times New Roman" w:eastAsia="Times New Roman" w:hAnsi="Times New Roman"/>
          <w:sz w:val="12"/>
          <w:szCs w:val="12"/>
          <w:color w:val="auto"/>
        </w:rPr>
        <w:t>ANI PHARMACEUTICALS, INC.</w:t>
      </w:r>
    </w:p>
    <w:p>
      <w:pPr>
        <w:spacing w:after="0" w:line="78" w:lineRule="exact"/>
        <w:rPr>
          <w:sz w:val="20"/>
          <w:szCs w:val="20"/>
          <w:color w:val="auto"/>
        </w:rPr>
      </w:pPr>
    </w:p>
    <w:tbl>
      <w:tblPr>
        <w:tblLayout w:type="fixed"/>
        <w:tblInd w:w="528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Stephen P. Carey</w:t>
            </w:r>
          </w:p>
        </w:tc>
      </w:tr>
      <w:tr>
        <w:trPr>
          <w:trHeight w:val="162"/>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Stephen P. Carey</w:t>
            </w:r>
          </w:p>
        </w:tc>
      </w:tr>
      <w:tr>
        <w:trPr>
          <w:trHeight w:val="180"/>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Finance and Chief Financial Officer</w:t>
            </w:r>
          </w:p>
        </w:tc>
      </w:tr>
    </w:tbl>
    <w:p>
      <w:pPr>
        <w:sectPr>
          <w:pgSz w:w="11900" w:h="16838" w:orient="portrait"/>
          <w:cols w:equalWidth="0" w:num="1">
            <w:col w:w="11300"/>
          </w:cols>
          <w:pgMar w:left="300" w:top="80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868680" cy="434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868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ANI Pharmaceuticals Reports Third Quarter 2026 Financial Results</w:t>
      </w:r>
    </w:p>
    <w:p>
      <w:pPr>
        <w:spacing w:after="0" w:line="172"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Quarterly net revenues of $290.8 million, an increase of 27.6% year-over-year</w:t>
      </w:r>
    </w:p>
    <w:p>
      <w:pPr>
        <w:spacing w:after="0" w:line="22" w:lineRule="exact"/>
        <w:rPr>
          <w:rFonts w:ascii="Arial" w:cs="Arial" w:eastAsia="Arial" w:hAnsi="Arial"/>
          <w:sz w:val="14"/>
          <w:szCs w:val="14"/>
          <w:i w:val="1"/>
          <w:iCs w:val="1"/>
          <w:color w:val="auto"/>
        </w:rPr>
      </w:pPr>
    </w:p>
    <w:p>
      <w:pPr>
        <w:ind w:left="420" w:hanging="212"/>
        <w:spacing w:after="0" w:line="198" w:lineRule="auto"/>
        <w:tabs>
          <w:tab w:leader="none" w:pos="4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Purified Cortrophin</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Gel net revenues of $138.7 million, an increase of 36.1% year-over-year</w:t>
      </w:r>
    </w:p>
    <w:p>
      <w:pPr>
        <w:ind w:left="420" w:right="220" w:hanging="212"/>
        <w:spacing w:after="0" w:line="261" w:lineRule="auto"/>
        <w:tabs>
          <w:tab w:leader="none" w:pos="4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Quarterly GAAP net income available to common shareholders of $35.1 million; quarterly adjusted non-GAAP EBITDA of $83.3 million, an increase of 39.8% year-over-year</w:t>
      </w:r>
    </w:p>
    <w:p>
      <w:pPr>
        <w:spacing w:after="0" w:line="175" w:lineRule="exact"/>
        <w:rPr>
          <w:rFonts w:ascii="Arial" w:cs="Arial" w:eastAsia="Arial" w:hAnsi="Arial"/>
          <w:sz w:val="14"/>
          <w:szCs w:val="14"/>
          <w:i w:val="1"/>
          <w:iCs w:val="1"/>
          <w:color w:val="auto"/>
        </w:rPr>
      </w:pPr>
    </w:p>
    <w:p>
      <w:pPr>
        <w:ind w:left="420" w:hanging="212"/>
        <w:spacing w:after="0"/>
        <w:tabs>
          <w:tab w:leader="none" w:pos="4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Diluted GAAP income per share of $1.51 and adjusted non-GAAP diluted earnings per share of $2.70</w:t>
      </w:r>
    </w:p>
    <w:p>
      <w:pPr>
        <w:spacing w:after="0" w:line="10" w:lineRule="exact"/>
        <w:rPr>
          <w:rFonts w:ascii="Arial" w:cs="Arial" w:eastAsia="Arial" w:hAnsi="Arial"/>
          <w:sz w:val="14"/>
          <w:szCs w:val="14"/>
          <w:i w:val="1"/>
          <w:iCs w:val="1"/>
          <w:color w:val="auto"/>
        </w:rPr>
      </w:pPr>
    </w:p>
    <w:p>
      <w:pPr>
        <w:ind w:left="420" w:right="160" w:hanging="212"/>
        <w:spacing w:after="0" w:line="254" w:lineRule="auto"/>
        <w:tabs>
          <w:tab w:leader="none" w:pos="4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Narrows 2026 total company revenue guidance to $1,085 - $1,125 million, revises Cortrophin Gel revenue guidance to $480 - $500 million and raises both adjusted non-GAAP EBITDA to $290 - $300 million, and adjusted non-GAAP diluted earnings per share to $9.37 to $9.71</w:t>
      </w:r>
    </w:p>
    <w:p>
      <w:pPr>
        <w:spacing w:after="0" w:line="1" w:lineRule="exact"/>
        <w:rPr>
          <w:rFonts w:ascii="Arial" w:cs="Arial" w:eastAsia="Arial" w:hAnsi="Arial"/>
          <w:sz w:val="14"/>
          <w:szCs w:val="14"/>
          <w:i w:val="1"/>
          <w:iCs w:val="1"/>
          <w:color w:val="auto"/>
        </w:rPr>
      </w:pPr>
    </w:p>
    <w:p>
      <w:pPr>
        <w:ind w:left="420" w:hanging="212"/>
        <w:spacing w:after="0"/>
        <w:tabs>
          <w:tab w:leader="none" w:pos="4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Announced offer to acquire Egetis Therapeutics, expanding the scope and scale of ANI’s Rare Disease business</w:t>
      </w:r>
    </w:p>
    <w:p>
      <w:pPr>
        <w:spacing w:after="0" w:line="15" w:lineRule="exact"/>
        <w:rPr>
          <w:rFonts w:ascii="Arial" w:cs="Arial" w:eastAsia="Arial" w:hAnsi="Arial"/>
          <w:sz w:val="14"/>
          <w:szCs w:val="14"/>
          <w:i w:val="1"/>
          <w:iCs w:val="1"/>
          <w:color w:val="auto"/>
        </w:rPr>
      </w:pPr>
    </w:p>
    <w:p>
      <w:pPr>
        <w:ind w:left="420" w:hanging="212"/>
        <w:spacing w:after="0"/>
        <w:tabs>
          <w:tab w:leader="none" w:pos="4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Repurchased $20 million in common stock year-to-date</w:t>
      </w:r>
    </w:p>
    <w:p>
      <w:pPr>
        <w:spacing w:after="0" w:line="162" w:lineRule="exact"/>
        <w:rPr>
          <w:sz w:val="20"/>
          <w:szCs w:val="20"/>
          <w:color w:val="auto"/>
        </w:rPr>
      </w:pPr>
    </w:p>
    <w:p>
      <w:pPr>
        <w:ind w:right="600"/>
        <w:spacing w:after="0" w:line="298" w:lineRule="auto"/>
        <w:rPr>
          <w:sz w:val="20"/>
          <w:szCs w:val="20"/>
          <w:color w:val="auto"/>
        </w:rPr>
      </w:pPr>
      <w:r>
        <w:rPr>
          <w:rFonts w:ascii="Arial" w:cs="Arial" w:eastAsia="Arial" w:hAnsi="Arial"/>
          <w:sz w:val="14"/>
          <w:szCs w:val="14"/>
          <w:color w:val="auto"/>
        </w:rPr>
        <w:t>PRINCETON, N.J., November 5, 2026 (GLOBE NEWSWIRE) -- ANI Pharmaceuticals, Inc. (Nasdaq: ANIP) (ANI or the Company) today announced financial results and business highlights for the third quarter ended September 30, 2026.</w:t>
      </w:r>
    </w:p>
    <w:p>
      <w:pPr>
        <w:spacing w:after="0" w:line="104"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“In the third quarter, ANI delivered strong financial results, while advancing our transformation into a leading Rare Disease company,” said Nikhil Lalwani, President and CEO of ANI. “Cortrophin Gel delivered solid growth, driven by momentum from the gout expansion and continued progress in our existing specialties, while our Generics business continued to outperform. We also executed on our capital allocation strategy by repurchasing shares and expanding the scope and scale of our Rare Disease business through our offer to acquire Egetis Therapeutics. This acquisition would add an FDA-approved rare disease therapy with significant long-term growth potential, that is poised to address the unmet need of patients with MCT8 deficiency who have no other approved treatment options.”</w:t>
      </w:r>
    </w:p>
    <w:p>
      <w:pPr>
        <w:spacing w:after="0" w:line="124" w:lineRule="exact"/>
        <w:rPr>
          <w:sz w:val="20"/>
          <w:szCs w:val="20"/>
          <w:color w:val="auto"/>
        </w:rPr>
      </w:pPr>
    </w:p>
    <w:p>
      <w:pPr>
        <w:ind w:right="200"/>
        <w:spacing w:after="0" w:line="276" w:lineRule="auto"/>
        <w:rPr>
          <w:sz w:val="20"/>
          <w:szCs w:val="20"/>
          <w:color w:val="auto"/>
        </w:rPr>
      </w:pPr>
      <w:r>
        <w:rPr>
          <w:rFonts w:ascii="Arial" w:cs="Arial" w:eastAsia="Arial" w:hAnsi="Arial"/>
          <w:sz w:val="14"/>
          <w:szCs w:val="14"/>
          <w:color w:val="auto"/>
        </w:rPr>
        <w:t>“As we head into the end of the year, we are focused on delivering our 2026 financial guidance and advancing the proposed acquisition of Egetis toward closing. We are also executing multiple operational and strategic initiatives to achieve approximately 40% year-over-year growth in 2026 for Cortrophin and capture the significant multi-year growth opportunity ahead,” he concluded.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Quarter and Recent Business Highlights: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Rare Disease</w:t>
      </w:r>
    </w:p>
    <w:p>
      <w:pPr>
        <w:spacing w:after="0" w:line="24"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Cortrophin Gel:</w:t>
      </w:r>
    </w:p>
    <w:p>
      <w:pPr>
        <w:spacing w:after="0" w:line="10" w:lineRule="exact"/>
        <w:rPr>
          <w:rFonts w:ascii="Arial" w:cs="Arial" w:eastAsia="Arial" w:hAnsi="Arial"/>
          <w:sz w:val="14"/>
          <w:szCs w:val="14"/>
          <w:color w:val="auto"/>
        </w:rPr>
      </w:pPr>
    </w:p>
    <w:p>
      <w:pPr>
        <w:jc w:val="both"/>
        <w:ind w:left="860" w:right="20" w:hanging="220"/>
        <w:spacing w:after="0" w:line="273" w:lineRule="auto"/>
        <w:tabs>
          <w:tab w:leader="none" w:pos="857" w:val="left"/>
        </w:tabs>
        <w:numPr>
          <w:ilvl w:val="1"/>
          <w:numId w:val="4"/>
        </w:numPr>
        <w:rPr>
          <w:rFonts w:ascii="Arial" w:cs="Arial" w:eastAsia="Arial" w:hAnsi="Arial"/>
          <w:sz w:val="14"/>
          <w:szCs w:val="14"/>
          <w:color w:val="auto"/>
        </w:rPr>
      </w:pPr>
      <w:r>
        <w:rPr>
          <w:rFonts w:ascii="Arial" w:cs="Arial" w:eastAsia="Arial" w:hAnsi="Arial"/>
          <w:sz w:val="14"/>
          <w:szCs w:val="14"/>
          <w:color w:val="auto"/>
        </w:rPr>
        <w:t>Cortrophin Gel net revenues were $138.7 million for the third quarter of 2026, an increase of 36.1% over the same period in 2025. Year-over-year growth in the third quarter of 2026 was driven by momentum from the gout expansion and continued progress in the existing specialty areas of Nephrology, Neurology, Rheumatology, Ophthalmology, and Pulmonology.</w:t>
      </w:r>
    </w:p>
    <w:p>
      <w:pPr>
        <w:sectPr>
          <w:pgSz w:w="11900" w:h="16838" w:orient="portrait"/>
          <w:cols w:equalWidth="0" w:num="1">
            <w:col w:w="11300"/>
          </w:cols>
          <w:pgMar w:left="300" w:top="701" w:right="299" w:bottom="1440" w:gutter="0" w:footer="0" w:header="0"/>
        </w:sectPr>
      </w:pPr>
    </w:p>
    <w:bookmarkStart w:id="4" w:name="page5"/>
    <w:bookmarkEnd w:id="4"/>
    <w:p>
      <w:pPr>
        <w:ind w:left="868" w:right="500" w:hanging="220"/>
        <w:spacing w:after="0" w:line="265" w:lineRule="auto"/>
        <w:tabs>
          <w:tab w:leader="none" w:pos="865" w:val="left"/>
        </w:tabs>
        <w:numPr>
          <w:ilvl w:val="1"/>
          <w:numId w:val="5"/>
        </w:numPr>
        <w:rPr>
          <w:rFonts w:ascii="Arial" w:cs="Arial" w:eastAsia="Arial" w:hAnsi="Arial"/>
          <w:sz w:val="14"/>
          <w:szCs w:val="14"/>
          <w:color w:val="auto"/>
        </w:rPr>
      </w:pPr>
      <w:r>
        <w:rPr>
          <w:rFonts w:ascii="Arial" w:cs="Arial" w:eastAsia="Arial" w:hAnsi="Arial"/>
          <w:sz w:val="14"/>
          <w:szCs w:val="14"/>
          <w:color w:val="auto"/>
        </w:rPr>
        <w:t>Leading indicators of demand in the gout expansion remained strong, with new gout patient cases doubling quarter-over-quarter and an approximately 67% increase in the number of new prescribers.</w:t>
      </w:r>
    </w:p>
    <w:p>
      <w:pPr>
        <w:ind w:left="868" w:hanging="220"/>
        <w:spacing w:after="0" w:line="273" w:lineRule="auto"/>
        <w:tabs>
          <w:tab w:leader="none" w:pos="865" w:val="left"/>
        </w:tabs>
        <w:numPr>
          <w:ilvl w:val="1"/>
          <w:numId w:val="5"/>
        </w:numPr>
        <w:rPr>
          <w:rFonts w:ascii="Arial" w:cs="Arial" w:eastAsia="Arial" w:hAnsi="Arial"/>
          <w:sz w:val="14"/>
          <w:szCs w:val="14"/>
          <w:color w:val="auto"/>
        </w:rPr>
      </w:pPr>
      <w:r>
        <w:rPr>
          <w:rFonts w:ascii="Arial" w:cs="Arial" w:eastAsia="Arial" w:hAnsi="Arial"/>
          <w:sz w:val="14"/>
          <w:szCs w:val="14"/>
          <w:color w:val="auto"/>
        </w:rPr>
        <w:t>However, revenue conversion was slower than expected in both existing specialties and gout, due to capacity constraints in the Company’s specialty pharmacy network. The Company is expanding its specialty pharmacy network and patient support capabilities to accelerate the conversion of strong demand into patients on therapy.</w:t>
      </w:r>
    </w:p>
    <w:p>
      <w:pPr>
        <w:spacing w:after="0" w:line="120" w:lineRule="exact"/>
        <w:rPr>
          <w:rFonts w:ascii="Arial" w:cs="Arial" w:eastAsia="Arial" w:hAnsi="Arial"/>
          <w:sz w:val="14"/>
          <w:szCs w:val="14"/>
          <w:color w:val="auto"/>
        </w:rPr>
      </w:pPr>
    </w:p>
    <w:p>
      <w:pPr>
        <w:ind w:left="428" w:hanging="212"/>
        <w:spacing w:after="0"/>
        <w:tabs>
          <w:tab w:leader="none" w:pos="428"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ILUVIEN:</w:t>
      </w:r>
    </w:p>
    <w:p>
      <w:pPr>
        <w:spacing w:after="0" w:line="24" w:lineRule="exact"/>
        <w:rPr>
          <w:rFonts w:ascii="Arial" w:cs="Arial" w:eastAsia="Arial" w:hAnsi="Arial"/>
          <w:sz w:val="14"/>
          <w:szCs w:val="14"/>
          <w:color w:val="auto"/>
        </w:rPr>
      </w:pPr>
    </w:p>
    <w:p>
      <w:pPr>
        <w:ind w:left="868" w:right="60" w:hanging="220"/>
        <w:spacing w:after="0" w:line="226" w:lineRule="auto"/>
        <w:tabs>
          <w:tab w:leader="none" w:pos="865" w:val="left"/>
        </w:tabs>
        <w:numPr>
          <w:ilvl w:val="1"/>
          <w:numId w:val="5"/>
        </w:numPr>
        <w:rPr>
          <w:rFonts w:ascii="Arial" w:cs="Arial" w:eastAsia="Arial" w:hAnsi="Arial"/>
          <w:sz w:val="14"/>
          <w:szCs w:val="14"/>
          <w:color w:val="auto"/>
        </w:rPr>
      </w:pPr>
      <w:r>
        <w:rPr>
          <w:rFonts w:ascii="Arial" w:cs="Arial" w:eastAsia="Arial" w:hAnsi="Arial"/>
          <w:sz w:val="14"/>
          <w:szCs w:val="14"/>
          <w:color w:val="auto"/>
        </w:rPr>
        <w:t>ILUVIEN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net revenues were $22.3 million for the third quarter of 2026, an increase of 34.1% over the same period in 2025 due to increased volumes and phasing of international shipments.</w:t>
      </w:r>
    </w:p>
    <w:p>
      <w:pPr>
        <w:ind w:left="868" w:right="160" w:hanging="220"/>
        <w:spacing w:after="0" w:line="269" w:lineRule="auto"/>
        <w:tabs>
          <w:tab w:leader="none" w:pos="865"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Company announced 6- and 24-month topline data from the Phase 4 open-label single-arm SYNCHRONICITY clinical trial in chronic non-infectious uveitis affecting the posterior segment of the eye (NIU-PS) and presented select secondary endpoint analyses highlighting durable efficacy at the American Academy of Ophthalmology annual conference in October 2026.</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Generics</w:t>
      </w:r>
    </w:p>
    <w:p>
      <w:pPr>
        <w:spacing w:after="0" w:line="24" w:lineRule="exact"/>
        <w:rPr>
          <w:sz w:val="20"/>
          <w:szCs w:val="20"/>
          <w:color w:val="auto"/>
        </w:rPr>
      </w:pPr>
    </w:p>
    <w:p>
      <w:pPr>
        <w:ind w:left="428" w:right="420" w:hanging="212"/>
        <w:spacing w:after="0" w:line="258" w:lineRule="auto"/>
        <w:tabs>
          <w:tab w:leader="none" w:pos="424" w:val="left"/>
        </w:tabs>
        <w:numPr>
          <w:ilvl w:val="0"/>
          <w:numId w:val="6"/>
        </w:numPr>
        <w:rPr>
          <w:rFonts w:ascii="Arial" w:cs="Arial" w:eastAsia="Arial" w:hAnsi="Arial"/>
          <w:sz w:val="14"/>
          <w:szCs w:val="14"/>
          <w:color w:val="auto"/>
        </w:rPr>
      </w:pPr>
      <w:r>
        <w:rPr>
          <w:rFonts w:ascii="Arial" w:cs="Arial" w:eastAsia="Arial" w:hAnsi="Arial"/>
          <w:sz w:val="14"/>
          <w:szCs w:val="14"/>
          <w:color w:val="auto"/>
        </w:rPr>
        <w:t>Generics net revenues were $104.5 million in the third quarter of 2026, an increase of 10.7% over the same period in 2025, driven by strong market demand for our existing products and new product launches in 2025 and 2026.</w:t>
      </w:r>
    </w:p>
    <w:p>
      <w:pPr>
        <w:spacing w:after="0" w:line="1" w:lineRule="exact"/>
        <w:rPr>
          <w:rFonts w:ascii="Arial" w:cs="Arial" w:eastAsia="Arial" w:hAnsi="Arial"/>
          <w:sz w:val="14"/>
          <w:szCs w:val="14"/>
          <w:color w:val="auto"/>
        </w:rPr>
      </w:pPr>
    </w:p>
    <w:p>
      <w:pPr>
        <w:ind w:left="428" w:hanging="212"/>
        <w:spacing w:after="0"/>
        <w:tabs>
          <w:tab w:leader="none" w:pos="428" w:val="left"/>
        </w:tabs>
        <w:numPr>
          <w:ilvl w:val="0"/>
          <w:numId w:val="6"/>
        </w:numPr>
        <w:rPr>
          <w:rFonts w:ascii="Arial" w:cs="Arial" w:eastAsia="Arial" w:hAnsi="Arial"/>
          <w:sz w:val="14"/>
          <w:szCs w:val="14"/>
          <w:color w:val="auto"/>
        </w:rPr>
      </w:pPr>
      <w:r>
        <w:rPr>
          <w:rFonts w:ascii="Arial" w:cs="Arial" w:eastAsia="Arial" w:hAnsi="Arial"/>
          <w:sz w:val="14"/>
          <w:szCs w:val="14"/>
          <w:color w:val="auto"/>
        </w:rPr>
        <w:t>Launched 16 new Generics products year-to-date.</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Brand Royalties and Other Revenues</w:t>
      </w:r>
    </w:p>
    <w:p>
      <w:pPr>
        <w:spacing w:after="0" w:line="24" w:lineRule="exact"/>
        <w:rPr>
          <w:sz w:val="20"/>
          <w:szCs w:val="20"/>
          <w:color w:val="auto"/>
        </w:rPr>
      </w:pPr>
    </w:p>
    <w:p>
      <w:pPr>
        <w:jc w:val="both"/>
        <w:ind w:left="428" w:right="120" w:hanging="212"/>
        <w:spacing w:after="0" w:line="266" w:lineRule="auto"/>
        <w:tabs>
          <w:tab w:leader="none" w:pos="42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recognized $11.5 million of revenue under the Harmony Agreement, comprised of $9.5 million of royalties on net sales of pitolisant-based products for the third quarter of 2026 and $2.0 million of revenue associated with the achievement of certain development milestones. In addition, the Company will continue to earn low single digit royalties on net sales of pitolisant-based products.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Brands</w:t>
      </w:r>
    </w:p>
    <w:p>
      <w:pPr>
        <w:spacing w:after="0" w:line="24" w:lineRule="exact"/>
        <w:rPr>
          <w:sz w:val="20"/>
          <w:szCs w:val="20"/>
          <w:color w:val="auto"/>
        </w:rPr>
      </w:pPr>
    </w:p>
    <w:p>
      <w:pPr>
        <w:ind w:left="428" w:right="180" w:hanging="212"/>
        <w:spacing w:after="0" w:line="277"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Brands net revenues were $10.0 million for the third quarter of 2026, a decrease of 6.5% compared to the same period in 2025, reflecting a net decrease in demand for certain products.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Corporate Highlights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Offer to Acquire Egetis Therapeutics AB</w:t>
      </w:r>
    </w:p>
    <w:p>
      <w:pPr>
        <w:spacing w:after="0" w:line="29" w:lineRule="exact"/>
        <w:rPr>
          <w:sz w:val="20"/>
          <w:szCs w:val="20"/>
          <w:color w:val="auto"/>
        </w:rPr>
      </w:pPr>
    </w:p>
    <w:p>
      <w:pPr>
        <w:ind w:left="8" w:right="20"/>
        <w:spacing w:after="0" w:line="267" w:lineRule="auto"/>
        <w:rPr>
          <w:sz w:val="20"/>
          <w:szCs w:val="20"/>
          <w:color w:val="auto"/>
        </w:rPr>
      </w:pPr>
      <w:r>
        <w:rPr>
          <w:rFonts w:ascii="Arial" w:cs="Arial" w:eastAsia="Arial" w:hAnsi="Arial"/>
          <w:sz w:val="14"/>
          <w:szCs w:val="14"/>
          <w:color w:val="auto"/>
        </w:rPr>
        <w:t>On November 5, 2026, ANI announced a recommended public offer to acquire the shares in Egetis Therapeutics AB (‘Egetis’) for SEK 11.25 per share, representing a 27% premium to the 60-day VWAP, as well as the convertible debt and the warrants issued by Egetis. The Offer, if consummated, would add EMCITATE® (tiratricol), the first and only approved treatment in the U.S. and Europe for peripheral thyrotoxicosis associated with MCT8 deficiency, a rare genetic disorder, supported by Orphan Drug exclusivity and patent protection into 2045. The value of the Offer, including outstanding incentive programs, amounts to approximately SEK 5.6 billion or approximately $560</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million.</w:t>
      </w:r>
    </w:p>
    <w:p>
      <w:pPr>
        <w:spacing w:after="0" w:line="363" w:lineRule="exact"/>
        <w:rPr>
          <w:sz w:val="20"/>
          <w:szCs w:val="20"/>
          <w:color w:val="auto"/>
        </w:rPr>
      </w:pPr>
    </w:p>
    <w:p>
      <w:pPr>
        <w:ind w:left="68" w:hanging="68"/>
        <w:spacing w:after="0"/>
        <w:tabs>
          <w:tab w:leader="none" w:pos="68"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Calculated utilizing 30 trading day average USD to SEK exchange rate of 9.9471 as of November 3, 2026.</w:t>
      </w:r>
    </w:p>
    <w:p>
      <w:pPr>
        <w:sectPr>
          <w:pgSz w:w="11900" w:h="16838" w:orient="portrait"/>
          <w:cols w:equalWidth="0" w:num="1">
            <w:col w:w="11248"/>
          </w:cols>
          <w:pgMar w:left="292" w:top="562" w:right="359" w:bottom="1440" w:gutter="0" w:footer="0" w:header="0"/>
        </w:sectPr>
      </w:pPr>
    </w:p>
    <w:bookmarkStart w:id="5" w:name="page6"/>
    <w:bookmarkEnd w:id="5"/>
    <w:p>
      <w:pPr>
        <w:ind w:left="8" w:right="380"/>
        <w:spacing w:after="0" w:line="298" w:lineRule="auto"/>
        <w:rPr>
          <w:sz w:val="20"/>
          <w:szCs w:val="20"/>
          <w:color w:val="auto"/>
        </w:rPr>
      </w:pPr>
      <w:r>
        <w:rPr>
          <w:rFonts w:ascii="Arial" w:cs="Arial" w:eastAsia="Arial" w:hAnsi="Arial"/>
          <w:sz w:val="14"/>
          <w:szCs w:val="14"/>
          <w:color w:val="auto"/>
        </w:rPr>
        <w:t>On November 4, 2026, Egetis announced that it had entered into a definitive asset purchase agreement to sell its Rare Pediatric Disease Priority Review Voucher (PRV) for gross proceeds of $190.0 million (USD).</w:t>
      </w:r>
    </w:p>
    <w:p>
      <w:pPr>
        <w:spacing w:after="0" w:line="104" w:lineRule="exact"/>
        <w:rPr>
          <w:sz w:val="20"/>
          <w:szCs w:val="20"/>
          <w:color w:val="auto"/>
        </w:rPr>
      </w:pPr>
    </w:p>
    <w:p>
      <w:pPr>
        <w:ind w:left="8"/>
        <w:spacing w:after="0" w:line="285" w:lineRule="auto"/>
        <w:rPr>
          <w:sz w:val="20"/>
          <w:szCs w:val="20"/>
          <w:color w:val="auto"/>
        </w:rPr>
      </w:pPr>
      <w:r>
        <w:rPr>
          <w:rFonts w:ascii="Arial" w:cs="Arial" w:eastAsia="Arial" w:hAnsi="Arial"/>
          <w:sz w:val="14"/>
          <w:szCs w:val="14"/>
          <w:color w:val="auto"/>
        </w:rPr>
        <w:t>Upon the closing of the PRV sale, former owners of Rare Thyroid Therapeutics International AB (RTTI) will receive an earn-out of their share under agreements governing Egetis’ acquisition of RTTI. The consideration in the Offer fully reflects the net value of the PRV on the terms of that sale. When adjusted for the estimated PRV net proceeds, the enterprise value reflected in the deal is approximately $434</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million.</w:t>
      </w:r>
    </w:p>
    <w:p>
      <w:pPr>
        <w:spacing w:after="0" w:line="56" w:lineRule="exact"/>
        <w:rPr>
          <w:sz w:val="20"/>
          <w:szCs w:val="20"/>
          <w:color w:val="auto"/>
        </w:rPr>
      </w:pPr>
    </w:p>
    <w:p>
      <w:pPr>
        <w:ind w:left="8" w:right="220"/>
        <w:spacing w:after="0" w:line="298" w:lineRule="auto"/>
        <w:rPr>
          <w:sz w:val="20"/>
          <w:szCs w:val="20"/>
          <w:color w:val="auto"/>
        </w:rPr>
      </w:pPr>
      <w:r>
        <w:rPr>
          <w:rFonts w:ascii="Arial" w:cs="Arial" w:eastAsia="Arial" w:hAnsi="Arial"/>
          <w:sz w:val="14"/>
          <w:szCs w:val="14"/>
          <w:color w:val="auto"/>
        </w:rPr>
        <w:t>The Board of Directors of Egetis unanimously recommends that Egetis’ shareholders and the holder of the convertible and the warrants accept the Offer. In addition, shareholders representing in total approximately 42 percent of the total number of outstanding shares in Egetis, have undertaken to accept the Offer, under certain conditions.</w:t>
      </w:r>
    </w:p>
    <w:p>
      <w:pPr>
        <w:spacing w:after="0" w:line="104" w:lineRule="exact"/>
        <w:rPr>
          <w:sz w:val="20"/>
          <w:szCs w:val="20"/>
          <w:color w:val="auto"/>
        </w:rPr>
      </w:pPr>
    </w:p>
    <w:p>
      <w:pPr>
        <w:ind w:left="8"/>
        <w:spacing w:after="0" w:line="312" w:lineRule="auto"/>
        <w:rPr>
          <w:sz w:val="20"/>
          <w:szCs w:val="20"/>
          <w:color w:val="auto"/>
        </w:rPr>
      </w:pPr>
      <w:r>
        <w:rPr>
          <w:rFonts w:ascii="Arial" w:cs="Arial" w:eastAsia="Arial" w:hAnsi="Arial"/>
          <w:sz w:val="14"/>
          <w:szCs w:val="14"/>
          <w:color w:val="auto"/>
        </w:rPr>
        <w:t>The Offer is subject to customary closing conditions, including that the Offer is accepted by shareholders representing at least 90 percent of the outstanding shares in Egetis, and that ANI receives necessary regulatory approvals.</w:t>
      </w:r>
    </w:p>
    <w:p>
      <w:pPr>
        <w:spacing w:after="0" w:line="94" w:lineRule="exact"/>
        <w:rPr>
          <w:sz w:val="20"/>
          <w:szCs w:val="20"/>
          <w:color w:val="auto"/>
        </w:rPr>
      </w:pPr>
    </w:p>
    <w:p>
      <w:pPr>
        <w:ind w:left="8" w:right="120"/>
        <w:spacing w:after="0" w:line="298" w:lineRule="auto"/>
        <w:rPr>
          <w:sz w:val="20"/>
          <w:szCs w:val="20"/>
          <w:color w:val="auto"/>
        </w:rPr>
      </w:pPr>
      <w:r>
        <w:rPr>
          <w:rFonts w:ascii="Arial" w:cs="Arial" w:eastAsia="Arial" w:hAnsi="Arial"/>
          <w:sz w:val="14"/>
          <w:szCs w:val="14"/>
          <w:color w:val="auto"/>
        </w:rPr>
        <w:t>The Offer is financed in full through a combination of cash on hand and new debt financing provided by JPMorgan Chase Bank, N.A., on terms customary for financing of public offers on the Swedish market.</w:t>
      </w:r>
    </w:p>
    <w:p>
      <w:pPr>
        <w:spacing w:after="0" w:line="104" w:lineRule="exact"/>
        <w:rPr>
          <w:sz w:val="20"/>
          <w:szCs w:val="20"/>
          <w:color w:val="auto"/>
        </w:rPr>
      </w:pPr>
    </w:p>
    <w:p>
      <w:pPr>
        <w:ind w:left="8" w:right="120"/>
        <w:spacing w:after="0" w:line="298" w:lineRule="auto"/>
        <w:rPr>
          <w:sz w:val="20"/>
          <w:szCs w:val="20"/>
          <w:color w:val="auto"/>
        </w:rPr>
      </w:pPr>
      <w:r>
        <w:rPr>
          <w:rFonts w:ascii="Arial" w:cs="Arial" w:eastAsia="Arial" w:hAnsi="Arial"/>
          <w:sz w:val="14"/>
          <w:szCs w:val="14"/>
          <w:color w:val="auto"/>
        </w:rPr>
        <w:t>The acceptance period in the offer is expected to commence on or around November 20, 2026 and to expire on or around December 18, 2026. For information in relation to the Offer, please refer to the formal offer announcement available on www.biopharma-offer.com.</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Share Repurchase Program</w:t>
      </w:r>
    </w:p>
    <w:p>
      <w:pPr>
        <w:spacing w:after="0" w:line="29" w:lineRule="exact"/>
        <w:rPr>
          <w:sz w:val="20"/>
          <w:szCs w:val="20"/>
          <w:color w:val="auto"/>
        </w:rPr>
      </w:pPr>
    </w:p>
    <w:p>
      <w:pPr>
        <w:jc w:val="both"/>
        <w:ind w:left="8" w:right="160"/>
        <w:spacing w:after="0" w:line="264" w:lineRule="auto"/>
        <w:rPr>
          <w:sz w:val="20"/>
          <w:szCs w:val="20"/>
          <w:color w:val="auto"/>
        </w:rPr>
      </w:pPr>
      <w:r>
        <w:rPr>
          <w:rFonts w:ascii="Arial" w:cs="Arial" w:eastAsia="Arial" w:hAnsi="Arial"/>
          <w:sz w:val="14"/>
          <w:szCs w:val="14"/>
          <w:color w:val="auto"/>
        </w:rPr>
        <w:t>Effective on May 8, 2026, ANI’s board of directors authorized a share repurchase program to repurchase up to $100.0 million of the Company’s common stock. During the third quarter of 2026, the Company repurchased 102,492 shares for approximately $7.5 million. From October 1 through November 2, 2026, ANI repurchased an additional 173,143 shares for approximately $12.5 million. In total, through November 2, 2026, ANI has repurchased 275,635 shares under the share repurchase program for approximately $20.0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8" w:hanging="68"/>
        <w:spacing w:after="0"/>
        <w:tabs>
          <w:tab w:leader="none" w:pos="68"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Calculated utilizing 30 trading day average USD to SEK exchange rate of 9.9471 as of November 3, 2026.</w:t>
      </w:r>
    </w:p>
    <w:p>
      <w:pPr>
        <w:sectPr>
          <w:pgSz w:w="11900" w:h="16838" w:orient="portrait"/>
          <w:cols w:equalWidth="0" w:num="1">
            <w:col w:w="11288"/>
          </w:cols>
          <w:pgMar w:left="292" w:top="562" w:right="319" w:bottom="1440" w:gutter="0" w:footer="0" w:header="0"/>
        </w:sectPr>
      </w:pPr>
    </w:p>
    <w:bookmarkStart w:id="6" w:name="page7"/>
    <w:bookmarkEnd w:id="6"/>
    <w:p>
      <w:pPr>
        <w:ind w:left="8"/>
        <w:spacing w:after="0"/>
        <w:rPr>
          <w:sz w:val="20"/>
          <w:szCs w:val="20"/>
          <w:color w:val="auto"/>
        </w:rPr>
      </w:pPr>
      <w:r>
        <w:rPr>
          <w:rFonts w:ascii="Arial" w:cs="Arial" w:eastAsia="Arial" w:hAnsi="Arial"/>
          <w:sz w:val="14"/>
          <w:szCs w:val="14"/>
          <w:b w:val="1"/>
          <w:bCs w:val="1"/>
          <w:i w:val="1"/>
          <w:iCs w:val="1"/>
          <w:color w:val="auto"/>
        </w:rPr>
        <w:t>Third Quarter 2026 Financial Results</w:t>
      </w:r>
    </w:p>
    <w:p>
      <w:pPr>
        <w:spacing w:after="0" w:line="167"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2"/>
                <w:szCs w:val="12"/>
                <w:b w:val="1"/>
                <w:bCs w:val="1"/>
                <w:color w:val="auto"/>
              </w:rPr>
              <w:t>Three Months Ended September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4"/>
        </w:trPr>
        <w:tc>
          <w:tcPr>
            <w:tcW w:w="4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2026</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2025</w:t>
            </w: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Change</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 Change</w:t>
            </w:r>
          </w:p>
        </w:tc>
      </w:tr>
      <w:tr>
        <w:trPr>
          <w:trHeight w:val="174"/>
        </w:trPr>
        <w:tc>
          <w:tcPr>
            <w:tcW w:w="428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Rare Disease and Brands</w:t>
            </w: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2"/>
        </w:trPr>
        <w:tc>
          <w:tcPr>
            <w:tcW w:w="4280" w:type="dxa"/>
            <w:vAlign w:val="bottom"/>
            <w:gridSpan w:val="2"/>
          </w:tcPr>
          <w:p>
            <w:pPr>
              <w:ind w:left="80"/>
              <w:spacing w:after="0"/>
              <w:rPr>
                <w:sz w:val="20"/>
                <w:szCs w:val="20"/>
                <w:color w:val="auto"/>
              </w:rPr>
            </w:pPr>
            <w:r>
              <w:rPr>
                <w:rFonts w:ascii="Arial" w:cs="Arial" w:eastAsia="Arial" w:hAnsi="Arial"/>
                <w:sz w:val="12"/>
                <w:szCs w:val="12"/>
                <w:color w:val="auto"/>
              </w:rPr>
              <w:t>Cortrophin Gel</w:t>
            </w:r>
          </w:p>
        </w:tc>
        <w:tc>
          <w:tcPr>
            <w:tcW w:w="1220" w:type="dxa"/>
            <w:vAlign w:val="bottom"/>
          </w:tcPr>
          <w:p>
            <w:pPr>
              <w:jc w:val="right"/>
              <w:ind w:right="108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138,655</w:t>
            </w:r>
          </w:p>
        </w:tc>
        <w:tc>
          <w:tcPr>
            <w:tcW w:w="80" w:type="dxa"/>
            <w:vAlign w:val="bottom"/>
          </w:tcPr>
          <w:p>
            <w:pPr>
              <w:spacing w:after="0"/>
              <w:rPr>
                <w:sz w:val="14"/>
                <w:szCs w:val="14"/>
                <w:color w:val="auto"/>
              </w:rPr>
            </w:pPr>
          </w:p>
        </w:tc>
        <w:tc>
          <w:tcPr>
            <w:tcW w:w="1220" w:type="dxa"/>
            <w:vAlign w:val="bottom"/>
          </w:tcPr>
          <w:p>
            <w:pPr>
              <w:jc w:val="right"/>
              <w:ind w:right="111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101,850</w:t>
            </w:r>
          </w:p>
        </w:tc>
        <w:tc>
          <w:tcPr>
            <w:tcW w:w="6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36,805</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36.1 %</w:t>
            </w:r>
          </w:p>
        </w:tc>
      </w:tr>
      <w:tr>
        <w:trPr>
          <w:trHeight w:val="188"/>
        </w:trPr>
        <w:tc>
          <w:tcPr>
            <w:tcW w:w="4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ILUVIEN</w:t>
            </w:r>
            <w:r>
              <w:rPr>
                <w:rFonts w:ascii="Arial" w:cs="Arial" w:eastAsia="Arial" w:hAnsi="Arial"/>
                <w:sz w:val="15"/>
                <w:szCs w:val="15"/>
                <w:color w:val="auto"/>
                <w:vertAlign w:val="superscript"/>
              </w:rPr>
              <w:t>(1)</w:t>
            </w:r>
          </w:p>
        </w:tc>
        <w:tc>
          <w:tcPr>
            <w:tcW w:w="1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22,254</w:t>
            </w:r>
          </w:p>
        </w:tc>
        <w:tc>
          <w:tcPr>
            <w:tcW w:w="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16,600</w:t>
            </w: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5,654</w:t>
            </w:r>
          </w:p>
        </w:tc>
        <w:tc>
          <w:tcPr>
            <w:tcW w:w="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34.1 %</w:t>
            </w:r>
          </w:p>
        </w:tc>
      </w:tr>
      <w:tr>
        <w:trPr>
          <w:trHeight w:val="164"/>
        </w:trPr>
        <w:tc>
          <w:tcPr>
            <w:tcW w:w="428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b w:val="1"/>
                <w:bCs w:val="1"/>
                <w:color w:val="auto"/>
              </w:rPr>
              <w:t>Rare Disease total net revenues</w:t>
            </w:r>
          </w:p>
        </w:tc>
        <w:tc>
          <w:tcPr>
            <w:tcW w:w="1220" w:type="dxa"/>
            <w:vAlign w:val="bottom"/>
            <w:tcBorders>
              <w:bottom w:val="single" w:sz="8" w:color="auto"/>
            </w:tcBorders>
          </w:tcPr>
          <w:p>
            <w:pPr>
              <w:jc w:val="right"/>
              <w:ind w:right="108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160,909</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118,450</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42,459</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35.8 %</w:t>
            </w:r>
          </w:p>
        </w:tc>
      </w:tr>
      <w:tr>
        <w:trPr>
          <w:trHeight w:val="174"/>
        </w:trPr>
        <w:tc>
          <w:tcPr>
            <w:tcW w:w="4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Brands</w:t>
            </w: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9,978</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10,675</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r>
      <w:tr>
        <w:trPr>
          <w:trHeight w:val="172"/>
        </w:trPr>
        <w:tc>
          <w:tcPr>
            <w:tcW w:w="4280" w:type="dxa"/>
            <w:vAlign w:val="bottom"/>
            <w:gridSpan w:val="2"/>
          </w:tcPr>
          <w:p>
            <w:pPr>
              <w:ind w:left="80"/>
              <w:spacing w:after="0"/>
              <w:rPr>
                <w:sz w:val="20"/>
                <w:szCs w:val="20"/>
                <w:color w:val="auto"/>
              </w:rPr>
            </w:pPr>
            <w:r>
              <w:rPr>
                <w:rFonts w:ascii="Arial" w:cs="Arial" w:eastAsia="Arial" w:hAnsi="Arial"/>
                <w:sz w:val="12"/>
                <w:szCs w:val="12"/>
                <w:color w:val="auto"/>
              </w:rPr>
              <w:t>Brand royalties and other revenues</w:t>
            </w: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11,460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11,460</w:t>
            </w:r>
          </w:p>
        </w:tc>
        <w:tc>
          <w:tcPr>
            <w:tcW w:w="80" w:type="dxa"/>
            <w:vAlign w:val="bottom"/>
          </w:tcPr>
          <w:p>
            <w:pPr>
              <w:spacing w:after="0"/>
              <w:rPr>
                <w:sz w:val="14"/>
                <w:szCs w:val="14"/>
                <w:color w:val="auto"/>
              </w:rPr>
            </w:pPr>
          </w:p>
        </w:tc>
        <w:tc>
          <w:tcPr>
            <w:tcW w:w="1580" w:type="dxa"/>
            <w:vAlign w:val="bottom"/>
          </w:tcPr>
          <w:p>
            <w:pPr>
              <w:jc w:val="right"/>
              <w:ind w:right="620"/>
              <w:spacing w:after="0"/>
              <w:rPr>
                <w:sz w:val="20"/>
                <w:szCs w:val="20"/>
                <w:color w:val="auto"/>
              </w:rPr>
            </w:pPr>
            <w:r>
              <w:rPr>
                <w:rFonts w:ascii="Arial" w:cs="Arial" w:eastAsia="Arial" w:hAnsi="Arial"/>
                <w:sz w:val="12"/>
                <w:szCs w:val="12"/>
                <w:color w:val="auto"/>
              </w:rPr>
              <w:t>N/M</w:t>
            </w:r>
          </w:p>
        </w:tc>
      </w:tr>
      <w:tr>
        <w:trPr>
          <w:trHeight w:val="177"/>
        </w:trPr>
        <w:tc>
          <w:tcPr>
            <w:tcW w:w="42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Rare Disease and Brands total net revenues</w:t>
            </w:r>
          </w:p>
        </w:tc>
        <w:tc>
          <w:tcPr>
            <w:tcW w:w="1220" w:type="dxa"/>
            <w:vAlign w:val="bottom"/>
            <w:tcBorders>
              <w:top w:val="single" w:sz="8" w:color="auto"/>
              <w:bottom w:val="single" w:sz="8" w:color="auto"/>
            </w:tcBorders>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182,347</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129,125</w:t>
            </w: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53,222</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41.2 %</w:t>
            </w:r>
          </w:p>
        </w:tc>
      </w:tr>
      <w:tr>
        <w:trPr>
          <w:trHeight w:val="155"/>
        </w:trPr>
        <w:tc>
          <w:tcPr>
            <w:tcW w:w="4280" w:type="dxa"/>
            <w:vAlign w:val="bottom"/>
            <w:gridSpan w:val="2"/>
          </w:tcPr>
          <w:p>
            <w:pPr>
              <w:ind w:left="80"/>
              <w:spacing w:after="0"/>
              <w:rPr>
                <w:sz w:val="20"/>
                <w:szCs w:val="20"/>
                <w:color w:val="auto"/>
              </w:rPr>
            </w:pPr>
            <w:r>
              <w:rPr>
                <w:rFonts w:ascii="Arial" w:cs="Arial" w:eastAsia="Arial" w:hAnsi="Arial"/>
                <w:sz w:val="12"/>
                <w:szCs w:val="12"/>
                <w:b w:val="1"/>
                <w:bCs w:val="1"/>
                <w:color w:val="auto"/>
              </w:rPr>
              <w:t>Generics and Other</w:t>
            </w:r>
          </w:p>
        </w:tc>
        <w:tc>
          <w:tcPr>
            <w:tcW w:w="1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85"/>
        </w:trPr>
        <w:tc>
          <w:tcPr>
            <w:tcW w:w="4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Generic pharmaceutical products</w:t>
            </w:r>
          </w:p>
        </w:tc>
        <w:tc>
          <w:tcPr>
            <w:tcW w:w="1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104,455</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94,375</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10,080</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10.7 %</w:t>
            </w:r>
          </w:p>
        </w:tc>
      </w:tr>
      <w:tr>
        <w:trPr>
          <w:trHeight w:val="172"/>
        </w:trPr>
        <w:tc>
          <w:tcPr>
            <w:tcW w:w="428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Other generic revenues</w:t>
            </w:r>
          </w:p>
        </w:tc>
        <w:tc>
          <w:tcPr>
            <w:tcW w:w="1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3,975</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4,313</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w:t>
            </w:r>
          </w:p>
        </w:tc>
      </w:tr>
      <w:tr>
        <w:trPr>
          <w:trHeight w:val="172"/>
        </w:trPr>
        <w:tc>
          <w:tcPr>
            <w:tcW w:w="42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Generics and Other total net revenues</w:t>
            </w:r>
          </w:p>
        </w:tc>
        <w:tc>
          <w:tcPr>
            <w:tcW w:w="122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108,430</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98,688</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9,742</w:t>
            </w:r>
          </w:p>
        </w:tc>
        <w:tc>
          <w:tcPr>
            <w:tcW w:w="8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9.9 %</w:t>
            </w:r>
          </w:p>
        </w:tc>
      </w:tr>
      <w:tr>
        <w:trPr>
          <w:trHeight w:val="174"/>
        </w:trPr>
        <w:tc>
          <w:tcPr>
            <w:tcW w:w="428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 net revenues</w:t>
            </w:r>
          </w:p>
        </w:tc>
        <w:tc>
          <w:tcPr>
            <w:tcW w:w="1220" w:type="dxa"/>
            <w:vAlign w:val="bottom"/>
            <w:tcBorders>
              <w:bottom w:val="single" w:sz="8" w:color="auto"/>
            </w:tcBorders>
          </w:tcPr>
          <w:p>
            <w:pPr>
              <w:jc w:val="right"/>
              <w:ind w:right="108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290,777</w:t>
            </w:r>
          </w:p>
        </w:tc>
        <w:tc>
          <w:tcPr>
            <w:tcW w:w="80" w:type="dxa"/>
            <w:vAlign w:val="bottom"/>
          </w:tcPr>
          <w:p>
            <w:pPr>
              <w:spacing w:after="0"/>
              <w:rPr>
                <w:sz w:val="15"/>
                <w:szCs w:val="15"/>
                <w:color w:val="auto"/>
              </w:rPr>
            </w:pPr>
          </w:p>
        </w:tc>
        <w:tc>
          <w:tcPr>
            <w:tcW w:w="1220" w:type="dxa"/>
            <w:vAlign w:val="bottom"/>
            <w:tcBorders>
              <w:bottom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227,813</w:t>
            </w:r>
          </w:p>
        </w:tc>
        <w:tc>
          <w:tcPr>
            <w:tcW w:w="6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62,964</w:t>
            </w:r>
          </w:p>
        </w:tc>
        <w:tc>
          <w:tcPr>
            <w:tcW w:w="8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27.6 %</w:t>
            </w:r>
          </w:p>
        </w:tc>
      </w:tr>
      <w:tr>
        <w:trPr>
          <w:trHeight w:val="20"/>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8" w:right="60" w:hanging="8"/>
        <w:spacing w:after="0" w:line="268" w:lineRule="auto"/>
        <w:tabs>
          <w:tab w:leader="none" w:pos="125"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There were no sales of YUTIQ during the three months ended September 30, 2026 and 2025, as the Company transitioned U.S. promotional efforts from YUTIQ to ILUVIEN, which has a combined label of DME and NIU-PS as of the second quarter of 2025.</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4"/>
          <w:szCs w:val="14"/>
          <w:color w:val="auto"/>
        </w:rPr>
        <w:t>All comparisons are made versus the same period in 2025 unless otherwise stated.</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4"/>
          <w:szCs w:val="14"/>
          <w:color w:val="auto"/>
        </w:rPr>
        <w:t>Total net revenues for the third quarter of 2026 were $290.8 million, an increase of 27.6% over the prior year period.</w:t>
      </w:r>
    </w:p>
    <w:p>
      <w:pPr>
        <w:spacing w:after="0" w:line="172" w:lineRule="exact"/>
        <w:rPr>
          <w:sz w:val="20"/>
          <w:szCs w:val="20"/>
          <w:color w:val="auto"/>
        </w:rPr>
      </w:pPr>
    </w:p>
    <w:p>
      <w:pPr>
        <w:ind w:left="8" w:right="100"/>
        <w:spacing w:after="0" w:line="298" w:lineRule="auto"/>
        <w:rPr>
          <w:sz w:val="20"/>
          <w:szCs w:val="20"/>
          <w:color w:val="auto"/>
        </w:rPr>
      </w:pPr>
      <w:r>
        <w:rPr>
          <w:rFonts w:ascii="Arial" w:cs="Arial" w:eastAsia="Arial" w:hAnsi="Arial"/>
          <w:sz w:val="14"/>
          <w:szCs w:val="14"/>
          <w:color w:val="auto"/>
        </w:rPr>
        <w:t>Net revenues for Rare Disease, which includes Cortrophin Gel and ILUVIEN, increased 35.8% to $160.9 million. Cortrophin Gel net revenues increased 36.1% to $138.7 million and ILUVIEN net revenues increased 34.1% to $22.3 million. Growth for Cortrophin Gel was driven primarily by increased volume.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4"/>
          <w:szCs w:val="14"/>
          <w:color w:val="auto"/>
        </w:rPr>
        <w:t>Net revenues for Brands decreased 6.5% to $10.0 million driven by a net decrease in demand for certain products.</w:t>
      </w:r>
    </w:p>
    <w:p>
      <w:pPr>
        <w:spacing w:after="0" w:line="172" w:lineRule="exact"/>
        <w:rPr>
          <w:sz w:val="20"/>
          <w:szCs w:val="20"/>
          <w:color w:val="auto"/>
        </w:rPr>
      </w:pPr>
    </w:p>
    <w:p>
      <w:pPr>
        <w:ind w:left="8" w:right="20"/>
        <w:spacing w:after="0" w:line="312" w:lineRule="auto"/>
        <w:rPr>
          <w:sz w:val="20"/>
          <w:szCs w:val="20"/>
          <w:color w:val="auto"/>
        </w:rPr>
      </w:pPr>
      <w:r>
        <w:rPr>
          <w:rFonts w:ascii="Arial" w:cs="Arial" w:eastAsia="Arial" w:hAnsi="Arial"/>
          <w:sz w:val="14"/>
          <w:szCs w:val="14"/>
          <w:color w:val="auto"/>
        </w:rPr>
        <w:t>Net revenues from Brand royalties and other revenues include $2.0 million of revenue associated with the achievement of development milestones and royalties of approximately $9.5 million, related to the Harmony Agreement.</w:t>
      </w:r>
    </w:p>
    <w:p>
      <w:pPr>
        <w:spacing w:after="0" w:line="94" w:lineRule="exact"/>
        <w:rPr>
          <w:sz w:val="20"/>
          <w:szCs w:val="20"/>
          <w:color w:val="auto"/>
        </w:rPr>
      </w:pPr>
    </w:p>
    <w:p>
      <w:pPr>
        <w:ind w:left="8" w:right="320"/>
        <w:spacing w:after="0" w:line="298" w:lineRule="auto"/>
        <w:rPr>
          <w:sz w:val="20"/>
          <w:szCs w:val="20"/>
          <w:color w:val="auto"/>
        </w:rPr>
      </w:pPr>
      <w:r>
        <w:rPr>
          <w:rFonts w:ascii="Arial" w:cs="Arial" w:eastAsia="Arial" w:hAnsi="Arial"/>
          <w:sz w:val="14"/>
          <w:szCs w:val="14"/>
          <w:color w:val="auto"/>
        </w:rPr>
        <w:t>Net revenues for Generic pharmaceutical products increased 10.7% to $104.5 million driven by strong market demand for our existing products and new product launches in 2025 and 2026.</w:t>
      </w:r>
    </w:p>
    <w:p>
      <w:pPr>
        <w:spacing w:after="0" w:line="104" w:lineRule="exact"/>
        <w:rPr>
          <w:sz w:val="20"/>
          <w:szCs w:val="20"/>
          <w:color w:val="auto"/>
        </w:rPr>
      </w:pPr>
    </w:p>
    <w:p>
      <w:pPr>
        <w:ind w:left="8"/>
        <w:spacing w:after="0" w:line="283" w:lineRule="auto"/>
        <w:rPr>
          <w:sz w:val="20"/>
          <w:szCs w:val="20"/>
          <w:color w:val="auto"/>
        </w:rPr>
      </w:pPr>
      <w:r>
        <w:rPr>
          <w:rFonts w:ascii="Arial" w:cs="Arial" w:eastAsia="Arial" w:hAnsi="Arial"/>
          <w:sz w:val="14"/>
          <w:szCs w:val="14"/>
          <w:color w:val="auto"/>
        </w:rPr>
        <w:t>On a GAAP basis, gross margin increased from 59.0% to 61.6%, while on a non-GAAP basis, gross margin increased from 59.2% to 61.8%. Both increases were primarily due to a favorable shift in product mix year over year in conjunction with revenue recognized under the Harmony Agreement, tempered by an increase in sales of products that bear a royalty payable.</w:t>
      </w:r>
    </w:p>
    <w:p>
      <w:pPr>
        <w:spacing w:after="0" w:line="114" w:lineRule="exact"/>
        <w:rPr>
          <w:sz w:val="20"/>
          <w:szCs w:val="20"/>
          <w:color w:val="auto"/>
        </w:rPr>
      </w:pPr>
    </w:p>
    <w:p>
      <w:pPr>
        <w:ind w:left="8" w:right="600"/>
        <w:spacing w:after="0" w:line="298" w:lineRule="auto"/>
        <w:rPr>
          <w:sz w:val="20"/>
          <w:szCs w:val="20"/>
          <w:color w:val="auto"/>
        </w:rPr>
      </w:pPr>
      <w:r>
        <w:rPr>
          <w:rFonts w:ascii="Arial" w:cs="Arial" w:eastAsia="Arial" w:hAnsi="Arial"/>
          <w:sz w:val="14"/>
          <w:szCs w:val="14"/>
          <w:color w:val="auto"/>
        </w:rPr>
        <w:t>On a GAAP basis and a non-GAAP basis, research and development expenses increased 5.6% to $13.0 million and 4.7% to $12.3 million, respectively, driven by timing associated with ongoing and new projects to support future growth of our Rare Disease and Generics businesses.</w:t>
      </w:r>
    </w:p>
    <w:p>
      <w:pPr>
        <w:sectPr>
          <w:pgSz w:w="11900" w:h="16838" w:orient="portrait"/>
          <w:cols w:equalWidth="0" w:num="1">
            <w:col w:w="11288"/>
          </w:cols>
          <w:pgMar w:left="292" w:top="681" w:right="319" w:bottom="1440" w:gutter="0" w:footer="0" w:header="0"/>
        </w:sectPr>
      </w:pPr>
    </w:p>
    <w:bookmarkStart w:id="7" w:name="page8"/>
    <w:bookmarkEnd w:id="7"/>
    <w:p>
      <w:pPr>
        <w:ind w:right="80"/>
        <w:spacing w:after="0" w:line="276" w:lineRule="auto"/>
        <w:rPr>
          <w:sz w:val="20"/>
          <w:szCs w:val="20"/>
          <w:color w:val="auto"/>
        </w:rPr>
      </w:pPr>
      <w:r>
        <w:rPr>
          <w:rFonts w:ascii="Arial" w:cs="Arial" w:eastAsia="Arial" w:hAnsi="Arial"/>
          <w:sz w:val="14"/>
          <w:szCs w:val="14"/>
          <w:color w:val="auto"/>
        </w:rPr>
        <w:t>On a GAAP basis, selling, general, and administrative expenses increased 23.8% to $94.9 million, while on a non-GAAP basis, selling, general, and administrative expenses increased 32.4% to $84.2 million. Both comparisons include expense related to expansion of the Rare Disease team, which is targeting opportunities in acute gouty arthritis, and an overall increase in activities to support the growth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On a GAAP basis, the Company reported net income available to common shareholders of $35.1 million, or $1.51 per diluted share, for the third quarter of 2026 compared to</w:t>
      </w:r>
    </w:p>
    <w:p>
      <w:pPr>
        <w:spacing w:after="0" w:line="24"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$26.3 million, or $1.13 per diluted share, in the prior year period. On a non-GAAP basis, the Company reported adjusted diluted earnings per share of $2.70 for the third quarter of 2026 compared to $2.04 in the prior year period.</w:t>
      </w:r>
    </w:p>
    <w:p>
      <w:pPr>
        <w:spacing w:after="0" w:line="118" w:lineRule="exact"/>
        <w:rPr>
          <w:sz w:val="20"/>
          <w:szCs w:val="20"/>
          <w:color w:val="auto"/>
        </w:rPr>
      </w:pPr>
    </w:p>
    <w:p>
      <w:pPr>
        <w:ind w:right="320"/>
        <w:spacing w:after="0" w:line="298" w:lineRule="auto"/>
        <w:rPr>
          <w:sz w:val="20"/>
          <w:szCs w:val="20"/>
          <w:color w:val="auto"/>
        </w:rPr>
      </w:pPr>
      <w:r>
        <w:rPr>
          <w:rFonts w:ascii="Arial" w:cs="Arial" w:eastAsia="Arial" w:hAnsi="Arial"/>
          <w:sz w:val="14"/>
          <w:szCs w:val="14"/>
          <w:color w:val="auto"/>
        </w:rPr>
        <w:t>Adjusted non-GAAP EBITDA for the third quarter of 2026 was $83.3 million, an increase of 39.8% from the third quarter of 2025, driven by increased net revenues and gross profit.</w:t>
      </w:r>
    </w:p>
    <w:p>
      <w:pPr>
        <w:spacing w:after="0" w:line="113"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For reconciliations of adjusted non-GAAP metrics, including non-GAAP research and development expenses, non-GAAP selling, general and administrative expenses, adjusted non-GAAP EBITDA, non-GAAP gross margin, and adjusted non-GAAP diluted earnings per share to the most directly comparable GAAP financial measures, please see Table 3, Table 4, and Table 5 below,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w:t>
      </w:r>
    </w:p>
    <w:p>
      <w:pPr>
        <w:spacing w:after="0" w:line="172"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color w:val="auto"/>
        </w:rPr>
        <w:t>As of September 30, 2026, the Company had $420.8 million in unrestricted cash and cash equivalents, $304.5 million in net accounts receivable and $616.9 million in principal value of outstanding debt (inclusive of the Company’s senior convertible notes). The Company generated cash flow from operations of $198.8 million on a year to date basis.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Full Year 2026 Financial Guidance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560" w:type="dxa"/>
            <w:vAlign w:val="bottom"/>
          </w:tcPr>
          <w:p>
            <w:pPr>
              <w:spacing w:after="0"/>
              <w:rPr>
                <w:sz w:val="12"/>
                <w:szCs w:val="12"/>
                <w:color w:val="auto"/>
              </w:rPr>
            </w:pPr>
          </w:p>
        </w:tc>
        <w:tc>
          <w:tcPr>
            <w:tcW w:w="2940" w:type="dxa"/>
            <w:vAlign w:val="bottom"/>
          </w:tcPr>
          <w:p>
            <w:pPr>
              <w:jc w:val="center"/>
              <w:ind w:left="20"/>
              <w:spacing w:after="0"/>
              <w:rPr>
                <w:sz w:val="20"/>
                <w:szCs w:val="20"/>
                <w:color w:val="auto"/>
              </w:rPr>
            </w:pPr>
            <w:r>
              <w:rPr>
                <w:rFonts w:ascii="Arial" w:cs="Arial" w:eastAsia="Arial" w:hAnsi="Arial"/>
                <w:sz w:val="12"/>
                <w:szCs w:val="12"/>
                <w:b w:val="1"/>
                <w:bCs w:val="1"/>
                <w:color w:val="auto"/>
                <w:w w:val="99"/>
              </w:rPr>
              <w:t>Revised Full Year 2026</w:t>
            </w:r>
          </w:p>
        </w:tc>
        <w:tc>
          <w:tcPr>
            <w:tcW w:w="3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0"/>
        </w:trPr>
        <w:tc>
          <w:tcPr>
            <w:tcW w:w="2560" w:type="dxa"/>
            <w:vAlign w:val="bottom"/>
            <w:tcBorders>
              <w:bottom w:val="single" w:sz="8" w:color="CCEEFF"/>
            </w:tcBorders>
          </w:tcPr>
          <w:p>
            <w:pPr>
              <w:spacing w:after="0"/>
              <w:rPr>
                <w:sz w:val="14"/>
                <w:szCs w:val="14"/>
                <w:color w:val="auto"/>
              </w:rPr>
            </w:pPr>
          </w:p>
        </w:tc>
        <w:tc>
          <w:tcPr>
            <w:tcW w:w="294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8"/>
              </w:rPr>
              <w:t>Guidance</w:t>
            </w:r>
          </w:p>
        </w:tc>
        <w:tc>
          <w:tcPr>
            <w:tcW w:w="304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b w:val="1"/>
                <w:bCs w:val="1"/>
                <w:color w:val="auto"/>
                <w:w w:val="99"/>
              </w:rPr>
              <w:t>Previous Full Year 2026 Guidance</w:t>
            </w:r>
          </w:p>
        </w:tc>
        <w:tc>
          <w:tcPr>
            <w:tcW w:w="1540" w:type="dxa"/>
            <w:vAlign w:val="bottom"/>
            <w:tcBorders>
              <w:bottom w:val="single" w:sz="8" w:color="auto"/>
            </w:tcBorders>
          </w:tcPr>
          <w:p>
            <w:pPr>
              <w:jc w:val="center"/>
              <w:ind w:left="80"/>
              <w:spacing w:after="0"/>
              <w:rPr>
                <w:sz w:val="20"/>
                <w:szCs w:val="20"/>
                <w:color w:val="auto"/>
              </w:rPr>
            </w:pPr>
            <w:r>
              <w:rPr>
                <w:rFonts w:ascii="Arial" w:cs="Arial" w:eastAsia="Arial" w:hAnsi="Arial"/>
                <w:sz w:val="12"/>
                <w:szCs w:val="12"/>
                <w:b w:val="1"/>
                <w:bCs w:val="1"/>
                <w:color w:val="auto"/>
              </w:rPr>
              <w:t>2025 Actual</w:t>
            </w: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Growth</w:t>
            </w:r>
          </w:p>
        </w:tc>
      </w:tr>
      <w:tr>
        <w:trPr>
          <w:trHeight w:val="174"/>
        </w:trPr>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Net Revenue (Total Company)</w:t>
            </w:r>
          </w:p>
        </w:tc>
        <w:tc>
          <w:tcPr>
            <w:tcW w:w="2940" w:type="dxa"/>
            <w:vAlign w:val="bottom"/>
            <w:shd w:val="clear" w:color="auto" w:fill="CCEEFF"/>
          </w:tcPr>
          <w:p>
            <w:pPr>
              <w:jc w:val="center"/>
              <w:ind w:left="20"/>
              <w:spacing w:after="0"/>
              <w:rPr>
                <w:sz w:val="20"/>
                <w:szCs w:val="20"/>
                <w:color w:val="auto"/>
              </w:rPr>
            </w:pPr>
            <w:r>
              <w:rPr>
                <w:rFonts w:ascii="Arial" w:cs="Arial" w:eastAsia="Arial" w:hAnsi="Arial"/>
                <w:sz w:val="12"/>
                <w:szCs w:val="12"/>
                <w:color w:val="auto"/>
                <w:w w:val="99"/>
              </w:rPr>
              <w:t>$1,085 million - $1,125 million</w:t>
            </w:r>
          </w:p>
        </w:tc>
        <w:tc>
          <w:tcPr>
            <w:tcW w:w="304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9"/>
              </w:rPr>
              <w:t>$1,080 million - $1,140 million</w:t>
            </w:r>
          </w:p>
        </w:tc>
        <w:tc>
          <w:tcPr>
            <w:tcW w:w="154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9"/>
              </w:rPr>
              <w:t>$883 million</w:t>
            </w:r>
          </w:p>
        </w:tc>
        <w:tc>
          <w:tcPr>
            <w:tcW w:w="1220" w:type="dxa"/>
            <w:vAlign w:val="bottom"/>
            <w:shd w:val="clear" w:color="auto" w:fill="CCEEFF"/>
          </w:tcPr>
          <w:p>
            <w:pPr>
              <w:jc w:val="center"/>
              <w:ind w:left="20"/>
              <w:spacing w:after="0"/>
              <w:rPr>
                <w:sz w:val="20"/>
                <w:szCs w:val="20"/>
                <w:color w:val="auto"/>
              </w:rPr>
            </w:pPr>
            <w:r>
              <w:rPr>
                <w:rFonts w:ascii="Arial" w:cs="Arial" w:eastAsia="Arial" w:hAnsi="Arial"/>
                <w:sz w:val="12"/>
                <w:szCs w:val="12"/>
                <w:color w:val="auto"/>
                <w:w w:val="98"/>
              </w:rPr>
              <w:t>23% - 27%</w:t>
            </w:r>
          </w:p>
        </w:tc>
      </w:tr>
      <w:tr>
        <w:trPr>
          <w:trHeight w:val="172"/>
        </w:trPr>
        <w:tc>
          <w:tcPr>
            <w:tcW w:w="2560" w:type="dxa"/>
            <w:vAlign w:val="bottom"/>
          </w:tcPr>
          <w:p>
            <w:pPr>
              <w:spacing w:after="0"/>
              <w:rPr>
                <w:sz w:val="20"/>
                <w:szCs w:val="20"/>
                <w:color w:val="auto"/>
              </w:rPr>
            </w:pPr>
            <w:r>
              <w:rPr>
                <w:rFonts w:ascii="Arial" w:cs="Arial" w:eastAsia="Arial" w:hAnsi="Arial"/>
                <w:sz w:val="12"/>
                <w:szCs w:val="12"/>
                <w:color w:val="auto"/>
              </w:rPr>
              <w:t>Cortrophin Gel Net Revenue</w:t>
            </w:r>
          </w:p>
        </w:tc>
        <w:tc>
          <w:tcPr>
            <w:tcW w:w="2940" w:type="dxa"/>
            <w:vAlign w:val="bottom"/>
          </w:tcPr>
          <w:p>
            <w:pPr>
              <w:jc w:val="center"/>
              <w:ind w:left="20"/>
              <w:spacing w:after="0"/>
              <w:rPr>
                <w:sz w:val="20"/>
                <w:szCs w:val="20"/>
                <w:color w:val="auto"/>
              </w:rPr>
            </w:pPr>
            <w:r>
              <w:rPr>
                <w:rFonts w:ascii="Arial" w:cs="Arial" w:eastAsia="Arial" w:hAnsi="Arial"/>
                <w:sz w:val="12"/>
                <w:szCs w:val="12"/>
                <w:color w:val="auto"/>
                <w:w w:val="99"/>
              </w:rPr>
              <w:t>$480 million - $500 million</w:t>
            </w:r>
          </w:p>
        </w:tc>
        <w:tc>
          <w:tcPr>
            <w:tcW w:w="3040" w:type="dxa"/>
            <w:vAlign w:val="bottom"/>
          </w:tcPr>
          <w:p>
            <w:pPr>
              <w:jc w:val="center"/>
              <w:ind w:left="80"/>
              <w:spacing w:after="0"/>
              <w:rPr>
                <w:sz w:val="20"/>
                <w:szCs w:val="20"/>
                <w:color w:val="auto"/>
              </w:rPr>
            </w:pPr>
            <w:r>
              <w:rPr>
                <w:rFonts w:ascii="Arial" w:cs="Arial" w:eastAsia="Arial" w:hAnsi="Arial"/>
                <w:sz w:val="12"/>
                <w:szCs w:val="12"/>
                <w:color w:val="auto"/>
                <w:w w:val="99"/>
              </w:rPr>
              <w:t>$520 million - $540 million</w:t>
            </w:r>
          </w:p>
        </w:tc>
        <w:tc>
          <w:tcPr>
            <w:tcW w:w="1540" w:type="dxa"/>
            <w:vAlign w:val="bottom"/>
          </w:tcPr>
          <w:p>
            <w:pPr>
              <w:jc w:val="center"/>
              <w:ind w:left="80"/>
              <w:spacing w:after="0"/>
              <w:rPr>
                <w:sz w:val="20"/>
                <w:szCs w:val="20"/>
                <w:color w:val="auto"/>
              </w:rPr>
            </w:pPr>
            <w:r>
              <w:rPr>
                <w:rFonts w:ascii="Arial" w:cs="Arial" w:eastAsia="Arial" w:hAnsi="Arial"/>
                <w:sz w:val="12"/>
                <w:szCs w:val="12"/>
                <w:color w:val="auto"/>
                <w:w w:val="99"/>
              </w:rPr>
              <w:t>$348 million</w:t>
            </w:r>
          </w:p>
        </w:tc>
        <w:tc>
          <w:tcPr>
            <w:tcW w:w="1220" w:type="dxa"/>
            <w:vAlign w:val="bottom"/>
          </w:tcPr>
          <w:p>
            <w:pPr>
              <w:jc w:val="center"/>
              <w:ind w:left="20"/>
              <w:spacing w:after="0"/>
              <w:rPr>
                <w:sz w:val="20"/>
                <w:szCs w:val="20"/>
                <w:color w:val="auto"/>
              </w:rPr>
            </w:pPr>
            <w:r>
              <w:rPr>
                <w:rFonts w:ascii="Arial" w:cs="Arial" w:eastAsia="Arial" w:hAnsi="Arial"/>
                <w:sz w:val="12"/>
                <w:szCs w:val="12"/>
                <w:color w:val="auto"/>
                <w:w w:val="98"/>
              </w:rPr>
              <w:t>38% - 44%</w:t>
            </w:r>
          </w:p>
        </w:tc>
      </w:tr>
      <w:tr>
        <w:trPr>
          <w:trHeight w:val="188"/>
        </w:trPr>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ILUVIEN Net Revenue</w:t>
            </w:r>
          </w:p>
        </w:tc>
        <w:tc>
          <w:tcPr>
            <w:tcW w:w="2940" w:type="dxa"/>
            <w:vAlign w:val="bottom"/>
            <w:shd w:val="clear" w:color="auto" w:fill="CCEEFF"/>
          </w:tcPr>
          <w:p>
            <w:pPr>
              <w:jc w:val="center"/>
              <w:ind w:left="20"/>
              <w:spacing w:after="0"/>
              <w:rPr>
                <w:sz w:val="20"/>
                <w:szCs w:val="20"/>
                <w:color w:val="auto"/>
              </w:rPr>
            </w:pPr>
            <w:r>
              <w:rPr>
                <w:rFonts w:ascii="Arial" w:cs="Arial" w:eastAsia="Arial" w:hAnsi="Arial"/>
                <w:sz w:val="12"/>
                <w:szCs w:val="12"/>
                <w:color w:val="auto"/>
              </w:rPr>
              <w:t>$80 million - $85 million</w:t>
            </w:r>
          </w:p>
        </w:tc>
        <w:tc>
          <w:tcPr>
            <w:tcW w:w="304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rPr>
              <w:t>$78 million - $83 million</w:t>
            </w:r>
          </w:p>
        </w:tc>
        <w:tc>
          <w:tcPr>
            <w:tcW w:w="154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7"/>
              </w:rPr>
              <w:t>$75 million</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7% - 14%</w:t>
            </w:r>
          </w:p>
        </w:tc>
      </w:tr>
      <w:tr>
        <w:trPr>
          <w:trHeight w:val="172"/>
        </w:trPr>
        <w:tc>
          <w:tcPr>
            <w:tcW w:w="2560" w:type="dxa"/>
            <w:vAlign w:val="bottom"/>
          </w:tcPr>
          <w:p>
            <w:pPr>
              <w:spacing w:after="0"/>
              <w:rPr>
                <w:sz w:val="20"/>
                <w:szCs w:val="20"/>
                <w:color w:val="auto"/>
              </w:rPr>
            </w:pPr>
            <w:r>
              <w:rPr>
                <w:rFonts w:ascii="Arial" w:cs="Arial" w:eastAsia="Arial" w:hAnsi="Arial"/>
                <w:sz w:val="12"/>
                <w:szCs w:val="12"/>
                <w:color w:val="auto"/>
              </w:rPr>
              <w:t>Adjusted Non-GAAP EBITDA</w:t>
            </w:r>
          </w:p>
        </w:tc>
        <w:tc>
          <w:tcPr>
            <w:tcW w:w="2940" w:type="dxa"/>
            <w:vAlign w:val="bottom"/>
          </w:tcPr>
          <w:p>
            <w:pPr>
              <w:jc w:val="center"/>
              <w:ind w:left="20"/>
              <w:spacing w:after="0"/>
              <w:rPr>
                <w:sz w:val="20"/>
                <w:szCs w:val="20"/>
                <w:color w:val="auto"/>
              </w:rPr>
            </w:pPr>
            <w:r>
              <w:rPr>
                <w:rFonts w:ascii="Arial" w:cs="Arial" w:eastAsia="Arial" w:hAnsi="Arial"/>
                <w:sz w:val="12"/>
                <w:szCs w:val="12"/>
                <w:color w:val="auto"/>
                <w:w w:val="99"/>
              </w:rPr>
              <w:t>$290 million - $300 million</w:t>
            </w:r>
          </w:p>
        </w:tc>
        <w:tc>
          <w:tcPr>
            <w:tcW w:w="3040" w:type="dxa"/>
            <w:vAlign w:val="bottom"/>
          </w:tcPr>
          <w:p>
            <w:pPr>
              <w:jc w:val="center"/>
              <w:ind w:left="80"/>
              <w:spacing w:after="0"/>
              <w:rPr>
                <w:sz w:val="20"/>
                <w:szCs w:val="20"/>
                <w:color w:val="auto"/>
              </w:rPr>
            </w:pPr>
            <w:r>
              <w:rPr>
                <w:rFonts w:ascii="Arial" w:cs="Arial" w:eastAsia="Arial" w:hAnsi="Arial"/>
                <w:sz w:val="12"/>
                <w:szCs w:val="12"/>
                <w:color w:val="auto"/>
                <w:w w:val="99"/>
              </w:rPr>
              <w:t>$285 million - $300 million</w:t>
            </w:r>
          </w:p>
        </w:tc>
        <w:tc>
          <w:tcPr>
            <w:tcW w:w="1540" w:type="dxa"/>
            <w:vAlign w:val="bottom"/>
          </w:tcPr>
          <w:p>
            <w:pPr>
              <w:jc w:val="center"/>
              <w:ind w:left="80"/>
              <w:spacing w:after="0"/>
              <w:rPr>
                <w:sz w:val="20"/>
                <w:szCs w:val="20"/>
                <w:color w:val="auto"/>
              </w:rPr>
            </w:pPr>
            <w:r>
              <w:rPr>
                <w:rFonts w:ascii="Arial" w:cs="Arial" w:eastAsia="Arial" w:hAnsi="Arial"/>
                <w:sz w:val="12"/>
                <w:szCs w:val="12"/>
                <w:color w:val="auto"/>
                <w:w w:val="99"/>
              </w:rPr>
              <w:t>$230 million</w:t>
            </w:r>
          </w:p>
        </w:tc>
        <w:tc>
          <w:tcPr>
            <w:tcW w:w="1220" w:type="dxa"/>
            <w:vAlign w:val="bottom"/>
          </w:tcPr>
          <w:p>
            <w:pPr>
              <w:jc w:val="center"/>
              <w:ind w:left="20"/>
              <w:spacing w:after="0"/>
              <w:rPr>
                <w:sz w:val="20"/>
                <w:szCs w:val="20"/>
                <w:color w:val="auto"/>
              </w:rPr>
            </w:pPr>
            <w:r>
              <w:rPr>
                <w:rFonts w:ascii="Arial" w:cs="Arial" w:eastAsia="Arial" w:hAnsi="Arial"/>
                <w:sz w:val="12"/>
                <w:szCs w:val="12"/>
                <w:color w:val="auto"/>
                <w:w w:val="98"/>
              </w:rPr>
              <w:t>26% - 31%</w:t>
            </w:r>
          </w:p>
        </w:tc>
      </w:tr>
      <w:tr>
        <w:trPr>
          <w:trHeight w:val="188"/>
        </w:trPr>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Adjusted Non-GAAP Diluted EPS</w:t>
            </w:r>
          </w:p>
        </w:tc>
        <w:tc>
          <w:tcPr>
            <w:tcW w:w="2940" w:type="dxa"/>
            <w:vAlign w:val="bottom"/>
            <w:shd w:val="clear" w:color="auto" w:fill="CCEEFF"/>
          </w:tcPr>
          <w:p>
            <w:pPr>
              <w:jc w:val="center"/>
              <w:ind w:left="20"/>
              <w:spacing w:after="0"/>
              <w:rPr>
                <w:sz w:val="20"/>
                <w:szCs w:val="20"/>
                <w:color w:val="auto"/>
              </w:rPr>
            </w:pPr>
            <w:r>
              <w:rPr>
                <w:rFonts w:ascii="Arial" w:cs="Arial" w:eastAsia="Arial" w:hAnsi="Arial"/>
                <w:sz w:val="12"/>
                <w:szCs w:val="12"/>
                <w:color w:val="auto"/>
                <w:w w:val="98"/>
              </w:rPr>
              <w:t>$9.37 - $9.71</w:t>
            </w:r>
          </w:p>
        </w:tc>
        <w:tc>
          <w:tcPr>
            <w:tcW w:w="304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8"/>
              </w:rPr>
              <w:t>$9.19 - $9.69</w:t>
            </w:r>
          </w:p>
        </w:tc>
        <w:tc>
          <w:tcPr>
            <w:tcW w:w="154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99"/>
              </w:rPr>
              <w:t>$7.89</w:t>
            </w:r>
          </w:p>
        </w:tc>
        <w:tc>
          <w:tcPr>
            <w:tcW w:w="1220" w:type="dxa"/>
            <w:vAlign w:val="bottom"/>
            <w:shd w:val="clear" w:color="auto" w:fill="CCEEFF"/>
          </w:tcPr>
          <w:p>
            <w:pPr>
              <w:jc w:val="center"/>
              <w:ind w:left="20"/>
              <w:spacing w:after="0"/>
              <w:rPr>
                <w:sz w:val="20"/>
                <w:szCs w:val="20"/>
                <w:color w:val="auto"/>
              </w:rPr>
            </w:pPr>
            <w:r>
              <w:rPr>
                <w:rFonts w:ascii="Arial" w:cs="Arial" w:eastAsia="Arial" w:hAnsi="Arial"/>
                <w:sz w:val="12"/>
                <w:szCs w:val="12"/>
                <w:color w:val="auto"/>
                <w:w w:val="98"/>
              </w:rPr>
              <w:t>19% - 23%</w:t>
            </w:r>
          </w:p>
        </w:tc>
      </w:tr>
    </w:tbl>
    <w:p>
      <w:pPr>
        <w:spacing w:after="0" w:line="207"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ANI expects full year total company adjusted non-GAAP gross margin between 60.3% and 61.0% and anticipates between approximately 21.5 million and 21.8 million shares outstanding for the purpose of calculating full year adjusted non-GAAP diluted EPS. The Company now expects its annual U.S. GAAP effective tax rate to be between 27% and 29% and will continue to tax effect non-GAAP adjustments for computation of adjusted non-GAAP diluted earnings per share utilizing a tax rate of 26%.</w:t>
      </w:r>
    </w:p>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Conference Call</w:t>
      </w:r>
    </w:p>
    <w:p>
      <w:pPr>
        <w:spacing w:after="0" w:line="172" w:lineRule="exact"/>
        <w:rPr>
          <w:sz w:val="20"/>
          <w:szCs w:val="20"/>
          <w:color w:val="auto"/>
        </w:rPr>
      </w:pPr>
    </w:p>
    <w:p>
      <w:pPr>
        <w:ind w:right="460"/>
        <w:spacing w:after="0" w:line="298" w:lineRule="auto"/>
        <w:rPr>
          <w:sz w:val="20"/>
          <w:szCs w:val="20"/>
          <w:color w:val="auto"/>
        </w:rPr>
      </w:pPr>
      <w:r>
        <w:rPr>
          <w:rFonts w:ascii="Arial" w:cs="Arial" w:eastAsia="Arial" w:hAnsi="Arial"/>
          <w:sz w:val="14"/>
          <w:szCs w:val="14"/>
          <w:color w:val="auto"/>
        </w:rPr>
        <w:t>The Company’s management will host a conference call and webcast today, Thursday, November 5, 2026, at 8:00 a.m. ET to discuss its third quarter 2026 results and the proposed Egetis Therapeutics acquisition.</w:t>
      </w:r>
    </w:p>
    <w:p>
      <w:pPr>
        <w:spacing w:after="0" w:line="113" w:lineRule="exact"/>
        <w:rPr>
          <w:sz w:val="20"/>
          <w:szCs w:val="20"/>
          <w:color w:val="auto"/>
        </w:rPr>
      </w:pPr>
    </w:p>
    <w:p>
      <w:pPr>
        <w:ind w:right="480"/>
        <w:spacing w:after="0" w:line="298" w:lineRule="auto"/>
        <w:rPr>
          <w:sz w:val="20"/>
          <w:szCs w:val="20"/>
          <w:color w:val="auto"/>
        </w:rPr>
      </w:pPr>
      <w:r>
        <w:rPr>
          <w:rFonts w:ascii="Arial" w:cs="Arial" w:eastAsia="Arial" w:hAnsi="Arial"/>
          <w:sz w:val="14"/>
          <w:szCs w:val="14"/>
          <w:color w:val="auto"/>
        </w:rPr>
        <w:t>To join the conference call, please dial +1(833) 630-1956 (U.S. and Canada) or +1(412) 317-1837 (International callers). Please reference the “ANI Pharmaceuticals Third Quarter 2026 Earnings Call.”</w:t>
      </w:r>
    </w:p>
    <w:p>
      <w:pPr>
        <w:spacing w:after="0" w:line="104" w:lineRule="exact"/>
        <w:rPr>
          <w:sz w:val="20"/>
          <w:szCs w:val="20"/>
          <w:color w:val="auto"/>
        </w:rPr>
      </w:pPr>
    </w:p>
    <w:p>
      <w:pPr>
        <w:ind w:right="1340"/>
        <w:spacing w:after="0" w:line="298" w:lineRule="auto"/>
        <w:rPr>
          <w:sz w:val="20"/>
          <w:szCs w:val="20"/>
          <w:color w:val="auto"/>
        </w:rPr>
      </w:pPr>
      <w:r>
        <w:rPr>
          <w:rFonts w:ascii="Arial" w:cs="Arial" w:eastAsia="Arial" w:hAnsi="Arial"/>
          <w:sz w:val="14"/>
          <w:szCs w:val="14"/>
          <w:color w:val="auto"/>
        </w:rPr>
        <w:t xml:space="preserve">To view the webcast, please click </w:t>
      </w:r>
      <w:r>
        <w:rPr>
          <w:rFonts w:ascii="Arial" w:cs="Arial" w:eastAsia="Arial" w:hAnsi="Arial"/>
          <w:sz w:val="14"/>
          <w:szCs w:val="14"/>
          <w:color w:val="0563C1"/>
        </w:rPr>
        <w:t>here</w:t>
      </w:r>
      <w:r>
        <w:rPr>
          <w:rFonts w:ascii="Arial" w:cs="Arial" w:eastAsia="Arial" w:hAnsi="Arial"/>
          <w:sz w:val="14"/>
          <w:szCs w:val="14"/>
          <w:color w:val="auto"/>
        </w:rPr>
        <w:t xml:space="preserve">. Links to access the webcast will also be available on the “Events &amp; Presentations” page of the Company’s website at </w:t>
      </w:r>
      <w:r>
        <w:rPr>
          <w:rFonts w:ascii="Arial" w:cs="Arial" w:eastAsia="Arial" w:hAnsi="Arial"/>
          <w:sz w:val="14"/>
          <w:szCs w:val="14"/>
          <w:color w:val="0563C1"/>
        </w:rPr>
        <w:t>https://www.anipharmaceuticals.com</w:t>
      </w:r>
      <w:r>
        <w:rPr>
          <w:rFonts w:ascii="Arial" w:cs="Arial" w:eastAsia="Arial" w:hAnsi="Arial"/>
          <w:sz w:val="14"/>
          <w:szCs w:val="14"/>
          <w:color w:val="000000"/>
        </w:rPr>
        <w:t>, under the “Investors” section. A replay of the event will remain accessible for up to one year.</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non-GAAP EBITDA</w:t>
      </w:r>
    </w:p>
    <w:p>
      <w:pPr>
        <w:spacing w:after="0" w:line="170" w:lineRule="exact"/>
        <w:rPr>
          <w:sz w:val="20"/>
          <w:szCs w:val="20"/>
          <w:color w:val="auto"/>
        </w:rPr>
      </w:pPr>
    </w:p>
    <w:p>
      <w:pPr>
        <w:jc w:val="both"/>
        <w:ind w:right="180"/>
        <w:spacing w:after="0" w:line="276" w:lineRule="auto"/>
        <w:rPr>
          <w:sz w:val="20"/>
          <w:szCs w:val="20"/>
          <w:color w:val="auto"/>
        </w:rPr>
      </w:pPr>
      <w:r>
        <w:rPr>
          <w:rFonts w:ascii="Arial" w:cs="Arial" w:eastAsia="Arial" w:hAnsi="Arial"/>
          <w:sz w:val="14"/>
          <w:szCs w:val="14"/>
          <w:color w:val="auto"/>
        </w:rPr>
        <w:t>ANI’s management considers adjusted non-GAAP EBITDA to be an important financial indicator of ANI’s operating performance, providing investors and analysts with a useful measure of operating results unaffected by non-cash stock-based compensation and differences in capital structures, tax structures, capital investment cycles, ages of related assets, and compensation structures among otherwise comparable companies. Management uses adjusted non-GAAP EBITDA when analyzing Company performance.</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Adjusted non-GAAP EBITDA is defined as net income, excluding tax expense, interest expense, net, other expense (income), net, depreciation and amortization expense, non-cash stock-based compensation expense, M&amp;A transaction and integration expenses, contingent consideration fair value adjustments, unrealized gain (loss) on our investment in equity securities, expenses incurred and settlement payments received in connection with certain litigation matters, severance expenses, and certain other items that vary in frequency and impact on ANI’s results of operations. Adjusted non-GAAP EBITDA should be considered in addition to, but not in lieu of, net income or loss reported under GAAP. A reconciliation of adjusted non-GAAP EBITDA to the most directly comparable GAAP financial measure is provided below.</w:t>
      </w:r>
    </w:p>
    <w:p>
      <w:pPr>
        <w:spacing w:after="0" w:line="124" w:lineRule="exact"/>
        <w:rPr>
          <w:sz w:val="20"/>
          <w:szCs w:val="20"/>
          <w:color w:val="auto"/>
        </w:rPr>
      </w:pPr>
    </w:p>
    <w:p>
      <w:pPr>
        <w:ind w:right="260"/>
        <w:spacing w:after="0" w:line="283" w:lineRule="auto"/>
        <w:rPr>
          <w:sz w:val="20"/>
          <w:szCs w:val="20"/>
          <w:color w:val="auto"/>
        </w:rPr>
      </w:pPr>
      <w:r>
        <w:rPr>
          <w:rFonts w:ascii="Arial" w:cs="Arial" w:eastAsia="Arial" w:hAnsi="Arial"/>
          <w:sz w:val="14"/>
          <w:szCs w:val="14"/>
          <w:color w:val="auto"/>
        </w:rPr>
        <w:t>ANI is not providing a reconciliation for the forward-looking full year 2026 adjusted non-GAAP EBITDA guidance because it does not currently have sufficient information to accurately estimate all of the variables and individual adjustments for such reconciliation, including “with” and “without” tax provision information. As such, ANI’s management cannot estimate on a forward-looking basis without unreasonable effort the impact these variables and individual adjustments will have on its reported results.</w:t>
      </w:r>
    </w:p>
    <w:p>
      <w:pPr>
        <w:sectPr>
          <w:pgSz w:w="11900" w:h="16838" w:orient="portrait"/>
          <w:cols w:equalWidth="0" w:num="1">
            <w:col w:w="11280"/>
          </w:cols>
          <w:pgMar w:left="300" w:top="562"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Adjusted non-GAAP Net Income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ANI’s management considers adjusted non-GAAP net income to be an important financial indicator of ANI’s operating performance, providing investors and analysts with a useful measure of operating results unaffected by the non-cash stock-based compensation, non-cash interest expense, depreciation and amortization, M&amp;A transaction and integration expenses, contingent consideration fair value adjustment, unrealized (gain) loss on our investment in equity securities, expenses incurred and settlement payments received in connection with certain litigation matters, severance expense, and certain other items that vary in frequency and impact on ANI’s results of operations. Management uses adjusted non-GAAP net income when analyzing Company performance.</w:t>
      </w:r>
    </w:p>
    <w:p>
      <w:pPr>
        <w:spacing w:after="0" w:line="12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Adjusted non-GAAP net income is defined as net income available to common shareholders, plus the non-cash stock-based compensation, non-cash interest expense, depreciation and amortization, M&amp;A transaction and integration expenses, contingent consideration fair value adjustment, unrealized (gain) loss on our investment in equity securities, expenses incurred and settlement payments received in connection with certain litigation matters, severance expense, and certain other items that vary in frequency and impact on ANI’s results of operations, less the tax impact of these adjustments calculated using an estimated statutory tax rate. Management will continually analyze this metric and may include additional adjustments in the calculation in order to provide further understanding of ANI’s results. Adjusted non-GAAP net income should be considered in addition to, but not in lieu of, net income reported under GAAP. A reconciliation of adjusted non-GAAP net income to the most directly comparable GAAP financial measure is provided below.</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non-GAAP Diluted Earnings per Share</w:t>
      </w:r>
    </w:p>
    <w:p>
      <w:pPr>
        <w:spacing w:after="0" w:line="179" w:lineRule="exact"/>
        <w:rPr>
          <w:sz w:val="20"/>
          <w:szCs w:val="20"/>
          <w:color w:val="auto"/>
        </w:rPr>
      </w:pPr>
    </w:p>
    <w:p>
      <w:pPr>
        <w:ind w:right="380"/>
        <w:spacing w:after="0" w:line="265" w:lineRule="auto"/>
        <w:rPr>
          <w:sz w:val="20"/>
          <w:szCs w:val="20"/>
          <w:color w:val="auto"/>
        </w:rPr>
      </w:pPr>
      <w:r>
        <w:rPr>
          <w:rFonts w:ascii="Arial" w:cs="Arial" w:eastAsia="Arial" w:hAnsi="Arial"/>
          <w:sz w:val="14"/>
          <w:szCs w:val="14"/>
          <w:color w:val="auto"/>
        </w:rPr>
        <w:t>ANI’s management considers adjusted non-GAAP diluted earnings per share to be an important financial indicator of ANI’s operating performance, providing investors and analysts with a useful measure of operating results unaffected by the non-cash stock-based compensation, non-cash interest expense, depreciation and amortization, M&amp;A transaction and integration expenses, contingent consideration fair value adjustment, unrealized (gain) loss on our investment in equity securities, expenses incurred and settlement payments received in connection with certain litigation matters, severance expense, and certain other items that vary in frequency and impact on ANI’s results of operations. Management uses adjusted non-GAAP diluted earnings per share when analyzing Company performance.</w:t>
      </w:r>
    </w:p>
    <w:p>
      <w:pPr>
        <w:spacing w:after="0" w:line="137"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Non-GAAP Adjusted Diluted Weighted-Average Shares Outstanding exclude certain dilutive shares related to the senior convertible notes as they are intended to be covered by our capped call transactions. Our outstanding capped call transactions are intended to fully offset the dilutive effect of the senior convertible notes recognized in the calculation of GAAP diluted EPS, and therefore 121,000 shares and 119,000 shares, for the three and nine months ended September 30, 2026, respectively, have been excluded from the calculation of Non-GAAP Adjusted Diluted Weighted-Average Shares Outstanding.</w:t>
      </w:r>
    </w:p>
    <w:p>
      <w:pPr>
        <w:spacing w:after="0" w:line="124"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Adjusted non-GAAP diluted earnings per share is defined as adjusted non-GAAP net income, as defined above, divided by the diluted weighted average shares outstanding during the period. Management will continually analyze this metric and may include additional adjustments in the calculation in order to provide further understanding of ANI’s results. Adjusted non-GAAP diluted earnings per share should be considered in addition to, but not in lieu of, diluted earnings (loss) per share reported under GAAP. A reconciliation of adjusted non-GAAP diluted earnings per share to the most directly comparable GAAP financial measure is provided below.</w:t>
      </w:r>
    </w:p>
    <w:p>
      <w:pPr>
        <w:sectPr>
          <w:pgSz w:w="11900" w:h="16838" w:orient="portrait"/>
          <w:cols w:equalWidth="0" w:num="1">
            <w:col w:w="11280"/>
          </w:cols>
          <w:pgMar w:left="300" w:top="564" w:right="319" w:bottom="1440" w:gutter="0" w:footer="0" w:header="0"/>
        </w:sectPr>
      </w:pPr>
    </w:p>
    <w:bookmarkStart w:id="10" w:name="page11"/>
    <w:bookmarkEnd w:id="10"/>
    <w:p>
      <w:pPr>
        <w:jc w:val="both"/>
        <w:ind w:right="140"/>
        <w:spacing w:after="0" w:line="276" w:lineRule="auto"/>
        <w:rPr>
          <w:sz w:val="20"/>
          <w:szCs w:val="20"/>
          <w:color w:val="auto"/>
        </w:rPr>
      </w:pPr>
      <w:r>
        <w:rPr>
          <w:rFonts w:ascii="Arial" w:cs="Arial" w:eastAsia="Arial" w:hAnsi="Arial"/>
          <w:sz w:val="14"/>
          <w:szCs w:val="14"/>
          <w:color w:val="auto"/>
        </w:rPr>
        <w:t>ANI is not providing a reconciliation for the forward-looking full year 2026 adjusted non-GAAP diluted earnings per share guidance because it does not currently have sufficient information to accurately estimate all of the variables and individual adjustments for such reconciliation, including “with” and “without” tax provision information. As such, ANI’s management cannot estimate on a forward-looking basis without unreasonable effort the impact these variables and individual adjustments will have on its reported results.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non-GAAP metrics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ANI’s management considers non-GAAP research and development expenses and non-GAAP selling, general, and administrative expenses to be financial indicators of ANI’s operating performance, providing investors and analysts with useful measures of operating results unaffected by non-cash stock-based compensation expense, M&amp;A transaction and integration expenses, expenses incurred and settlement payments received in connection with certain litigation matters, severance expense, and certain other items that vary in frequency and impact on ANI’s results of operations.</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Management uses adjusted non-GAAP research and development expenses and non-GAAP selling, general, and administrative expenses when analyzing Company performance. Non-GAAP research and development expenses is defined as research and development expenses, excluding non-cash stock-based compensation expense, and certain other items that vary in frequency and impact on ANI’s results of operations.</w:t>
      </w:r>
    </w:p>
    <w:p>
      <w:pPr>
        <w:spacing w:after="0" w:line="120" w:lineRule="exact"/>
        <w:rPr>
          <w:sz w:val="20"/>
          <w:szCs w:val="20"/>
          <w:color w:val="auto"/>
        </w:rPr>
      </w:pPr>
    </w:p>
    <w:p>
      <w:pPr>
        <w:jc w:val="both"/>
        <w:ind w:right="160"/>
        <w:spacing w:after="0" w:line="276" w:lineRule="auto"/>
        <w:rPr>
          <w:sz w:val="20"/>
          <w:szCs w:val="20"/>
          <w:color w:val="auto"/>
        </w:rPr>
      </w:pPr>
      <w:r>
        <w:rPr>
          <w:rFonts w:ascii="Arial" w:cs="Arial" w:eastAsia="Arial" w:hAnsi="Arial"/>
          <w:sz w:val="14"/>
          <w:szCs w:val="14"/>
          <w:color w:val="auto"/>
        </w:rPr>
        <w:t>Non-GAAP selling, general, and administrative expenses is defined as selling, general, and administrative expenses, excluding non-cash stock-based compensation expense, M&amp;A transaction and integration expenses, expenses incurred and settlement payments received in connection with certain litigation matters, severance expense, and certain other items that vary in frequency and impact on ANI’s results of operations.</w:t>
      </w:r>
    </w:p>
    <w:p>
      <w:pPr>
        <w:spacing w:after="0" w:line="129" w:lineRule="exact"/>
        <w:rPr>
          <w:sz w:val="20"/>
          <w:szCs w:val="20"/>
          <w:color w:val="auto"/>
        </w:rPr>
      </w:pPr>
    </w:p>
    <w:p>
      <w:pPr>
        <w:ind w:right="180"/>
        <w:spacing w:after="0" w:line="298" w:lineRule="auto"/>
        <w:rPr>
          <w:sz w:val="20"/>
          <w:szCs w:val="20"/>
          <w:color w:val="auto"/>
        </w:rPr>
      </w:pPr>
      <w:r>
        <w:rPr>
          <w:rFonts w:ascii="Arial" w:cs="Arial" w:eastAsia="Arial" w:hAnsi="Arial"/>
          <w:sz w:val="14"/>
          <w:szCs w:val="14"/>
          <w:color w:val="auto"/>
        </w:rPr>
        <w:t>Each of adjusted non-GAAP research and development expenses and non-GAAP selling, general, and administrative expenses should be considered in addition to, but not in lieu of, research and development expenses, and selling, general, and administrative expenses reported under GAAP, respectively.</w:t>
      </w:r>
    </w:p>
    <w:p>
      <w:pPr>
        <w:spacing w:after="0" w:line="104"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A reconciliation of each of non-GAAP research and development expenses and non-GAAP selling, general and administrative expenses to the most directly comparable GAAP financial measure is provided below.</w:t>
      </w:r>
    </w:p>
    <w:p>
      <w:pPr>
        <w:spacing w:after="0" w:line="104"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ANI’s management also considers non-GAAP gross margin to be a financial indicator of ANI’s operating performance, providing investors and analysts with a useful measure of operating results unaffected by non-cash stock-based compensation expense, and certain other items that vary in frequency and impact on ANI’s results of operations. Management uses non-GAAP gross margin when analyzing Company performance.</w:t>
      </w:r>
    </w:p>
    <w:p>
      <w:pPr>
        <w:spacing w:after="0" w:line="114"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Non-GAAP gross margin is defined as adjusted non-GAAP net revenues less non-GAAP cost of sales (excluding depreciation and amortization) divided by non-GAAP net revenues. Non-GAAP cost of sales is defined as cost of sales (excluding depreciation and amortization), excluding non-cash stock-based compensation expense and certain other items that vary in frequency and impact on ANI’s results of operations. Non-GAAP gross margin should be considered in addition to, but not in lieu of, gross margin reported under GAAP.</w:t>
      </w:r>
    </w:p>
    <w:p>
      <w:pPr>
        <w:sectPr>
          <w:pgSz w:w="11900" w:h="16838" w:orient="portrait"/>
          <w:cols w:equalWidth="0" w:num="1">
            <w:col w:w="11240"/>
          </w:cols>
          <w:pgMar w:left="300" w:top="562" w:right="359" w:bottom="1440" w:gutter="0" w:footer="0" w:header="0"/>
        </w:sectPr>
      </w:pPr>
    </w:p>
    <w:bookmarkStart w:id="11" w:name="page12"/>
    <w:bookmarkEnd w:id="11"/>
    <w:p>
      <w:pPr>
        <w:spacing w:after="0" w:line="276" w:lineRule="auto"/>
        <w:rPr>
          <w:sz w:val="20"/>
          <w:szCs w:val="20"/>
          <w:color w:val="auto"/>
        </w:rPr>
      </w:pPr>
      <w:r>
        <w:rPr>
          <w:rFonts w:ascii="Arial" w:cs="Arial" w:eastAsia="Arial" w:hAnsi="Arial"/>
          <w:sz w:val="14"/>
          <w:szCs w:val="14"/>
          <w:color w:val="auto"/>
        </w:rPr>
        <w:t>ANI is not providing a reconciliation for the forward-looking full year 2026 adjusted non-GAAP gross margin guidance because it does not currently have sufficient information to accurately estimate all of the variables and individual adjustments for such reconciliation. As such, ANI’s management cannot estimate on a forward-looking basis without unreasonable effort the impact these variables and individual adjustments will have on its reported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ANI</w:t>
      </w:r>
    </w:p>
    <w:p>
      <w:pPr>
        <w:spacing w:after="0" w:line="172"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 xml:space="preserve">ANI Pharmaceuticals, Inc. (Nasdaq: ANIP) is a diversified biopharmaceutical company committed to its mission of “Serving Patients, Improving Lives” by developing, manufacturing, and commercializing innovative and high-quality therapeutics. The Company is focused on delivering sustainable growth through its Rare Disease business, which markets novel products in the areas of ophthalmology, rheumatology, nephrology, neurology, and pulmonology; its Generics business, which leverages R&amp;D expertise, operational excellence, and U.S.-based manufacturing; and its Brands business. For more information, visit </w:t>
      </w:r>
      <w:r>
        <w:rPr>
          <w:rFonts w:ascii="Arial" w:cs="Arial" w:eastAsia="Arial" w:hAnsi="Arial"/>
          <w:sz w:val="14"/>
          <w:szCs w:val="14"/>
          <w:color w:val="0563C1"/>
        </w:rPr>
        <w:t>https://www.anipharmaceuticals.com/</w:t>
      </w:r>
      <w:r>
        <w:rPr>
          <w:rFonts w:ascii="Arial" w:cs="Arial" w:eastAsia="Arial" w:hAnsi="Arial"/>
          <w:sz w:val="14"/>
          <w:szCs w:val="14"/>
          <w:color w:val="0A2F41"/>
        </w:rPr>
        <w:t>.</w:t>
      </w:r>
    </w:p>
    <w:p>
      <w:pPr>
        <w:sectPr>
          <w:pgSz w:w="11900" w:h="16838" w:orient="portrait"/>
          <w:cols w:equalWidth="0" w:num="1">
            <w:col w:w="11180"/>
          </w:cols>
          <w:pgMar w:left="300" w:top="562" w:right="4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Forward-Looking Statements</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To the extent any statements made in this release deal with information that is not historical, these are forward-looking statements. Such statements include, but are not limited to, statements regarding the Company’s strategy; its expectations regarding its future operations, financial position or revenues, including its 2026 financial guidance; the public offer to the shareholders of Egetis Therapeutics and statements related to the potential acquisition of Egetis Therapeutics, including the potential addition of EMCITATE to the Company’s asset portfolio through the proposed acquisition and the anticipated timing and expenses related to the acquisition; the anticipated sales potential of EMCITATE; the Company’s expectations regarding its share repurchase program; the results and timing of the Company’s preclinical studies, clinical trials, regulatory submissions and regulatory approvals; the commercialization and anticipated sales of the Company’s products, including current and planned product launches and any additional product launches from the Company’s generic pipeline; the Company’s estimates of the market opportunity and addressable patient populations for its products; the execution capabilities of the Company’s sales representatives for acute gouty arthritis for Cortrophin Gel; the Company’s anticipated growth opportunities, including for Cortrophin Gel and ILUVIEN; the Company’s positioning for continued shareholder value creation; anticipated R&amp;D developments and clinical trial advances; and other statements that are not historical in nature, particularly those that utilize terminology such as “anticipates,” “will,” “expects,” “plans,” “potential,” “future,” “believes,” “intends,” “continue,” the negatives thereof, or other words of similar meaning, derivations of such words and the use of future dates.</w:t>
      </w:r>
    </w:p>
    <w:p>
      <w:pPr>
        <w:spacing w:after="0" w:line="13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Uncertainties and risks may cause the Company’s actual results to be materially different than those expressed in or implied by such forward-looking statements. Uncertainties and risks include, but are not limited to: the ability of the Company’s approved products, including Cortrophin Gel and ILUVIEN, to achieve commercialization at levels of market acceptance that will allow the Company to maintain profitability; the Company’s ability to complete or achieve any or all of the intended benefits of acquisitions and investments, in a timely manner or at all; delays and disruptions in the production of the Company’s approved products; increased costs and potential loss of revenues if the Company needs to change suppliers due to the limited number of suppliers for its raw materials, active pharmaceutical ingredients, excipients, and other materials; delays and disruptions in the production of the Company’s approved products as a result of its reliance on single source third party contract manufacturing supply for certain of its key products, including Cortrophin Gel and ILUVIEN; delays or failure to obtain or maintain approvals by the FDA of the Company’s products; changes in policy or actions that may be taken by the FDA, United States Drug Enforcement Administration and other regulatory agencies; risks that the Company may face with respect to importing raw materials and delays in delivery of raw materials and other ingredients and supplies necessary for the manufacture of the Company’s products from both domestic and overseas sources due to supply chain disruptions or for any other reason, including increased costs due to tariffs or macroeconomic disruptions; the ability of the Company’s manufacturing partners to meet its product demands and timelines; the impact of changes or fluctuations in exchange rates; the Company’s ability to develop, license or acquire, and commercialize new products; the Company’s obligations in agreements under which it licenses, develops or commercializes rights to products or technology from third parties and its ability to maintain such licenses; the level of competition the Company faces and the legal, regulatory and/or legislative strategies employed by its competitors to prevent or delay competition from generic alternatives to branded products; the Company’s ability to protect its intellectual property rights; the impact of legislative or regulatory reform on the pricing for pharmaceutical products; the impact of any litigation to which the Company is, or may become, a party; the Company’s ability, and that of its suppliers, development partners, and manufacturing partners, to comply with laws, regulations and standards that govern or affect the pharmaceutical and biotechnology industries;</w:t>
      </w:r>
    </w:p>
    <w:p>
      <w:pPr>
        <w:sectPr>
          <w:pgSz w:w="11900" w:h="16838" w:orient="portrait"/>
          <w:cols w:equalWidth="0" w:num="1">
            <w:col w:w="11280"/>
          </w:cols>
          <w:pgMar w:left="300" w:top="562" w:right="319" w:bottom="1440" w:gutter="0" w:footer="0" w:header="0"/>
        </w:sectPr>
      </w:pPr>
    </w:p>
    <w:bookmarkStart w:id="13" w:name="page14"/>
    <w:bookmarkEnd w:id="13"/>
    <w:p>
      <w:pPr>
        <w:ind w:right="380"/>
        <w:spacing w:after="0" w:line="298" w:lineRule="auto"/>
        <w:rPr>
          <w:sz w:val="20"/>
          <w:szCs w:val="20"/>
          <w:color w:val="auto"/>
        </w:rPr>
      </w:pPr>
      <w:r>
        <w:rPr>
          <w:rFonts w:ascii="Arial" w:cs="Arial" w:eastAsia="Arial" w:hAnsi="Arial"/>
          <w:sz w:val="14"/>
          <w:szCs w:val="14"/>
          <w:color w:val="auto"/>
        </w:rPr>
        <w:t>the Company’s ability to maintain the services of its key executives and other personnel; and general business and economic conditions, such as inflationary pressures and geopolitical conditions.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More detailed information on these and additional factors that could affect the Company’s actual results is included in the Company’s filings with the Securities and Exchange Commission (SEC), including its most recent annual report on Form 10-K and quarterly reports on Form 10-Q, and other periodic reports, as well as other filings with the SEC. All forward-looking statements in this news release speak only as of the date of this news release and are based on the Company’s current beliefs, assumptions, and expectations. The Company undertakes no obligation to update or revise any forward-looking statement, whether as a result of new information, future events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Relations: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Irina Koffler, Vice President,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 917-734-7387</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E: Irina.koffler@anipharmaceuticals.com</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Relations: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Argot Partners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 212-600-1494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 ani@argotpartners.com</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ANI Pharmaceuticals, Inc.</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FINANCIAL TABLES FOLLOW</w:t>
      </w:r>
    </w:p>
    <w:p>
      <w:pPr>
        <w:sectPr>
          <w:pgSz w:w="11900" w:h="16838" w:orient="portrait"/>
          <w:cols w:equalWidth="0" w:num="1">
            <w:col w:w="11280"/>
          </w:cols>
          <w:pgMar w:left="300" w:top="562"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ANI Pharmaceuticals,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Table 1: US GAAP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(unaudited,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60" w:type="dxa"/>
            <w:vAlign w:val="bottom"/>
          </w:tcPr>
          <w:p>
            <w:pPr>
              <w:spacing w:after="0"/>
              <w:rPr>
                <w:sz w:val="13"/>
                <w:szCs w:val="13"/>
                <w:color w:val="auto"/>
              </w:rPr>
            </w:pPr>
          </w:p>
        </w:tc>
        <w:tc>
          <w:tcPr>
            <w:tcW w:w="2780" w:type="dxa"/>
            <w:vAlign w:val="bottom"/>
            <w:gridSpan w:val="4"/>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60" w:type="dxa"/>
            <w:vAlign w:val="bottom"/>
          </w:tcPr>
          <w:p>
            <w:pPr>
              <w:spacing w:after="0"/>
              <w:rPr>
                <w:sz w:val="13"/>
                <w:szCs w:val="13"/>
                <w:color w:val="auto"/>
              </w:rPr>
            </w:pPr>
          </w:p>
        </w:tc>
      </w:tr>
      <w:tr>
        <w:trPr>
          <w:trHeight w:val="189"/>
        </w:trPr>
        <w:tc>
          <w:tcPr>
            <w:tcW w:w="45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17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Revenues</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290,777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right="9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227,813</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794,283</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636,306</w:t>
            </w:r>
          </w:p>
        </w:tc>
      </w:tr>
      <w:tr>
        <w:trPr>
          <w:trHeight w:val="180"/>
        </w:trPr>
        <w:tc>
          <w:tcPr>
            <w:tcW w:w="4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1"/>
        </w:trPr>
        <w:tc>
          <w:tcPr>
            <w:tcW w:w="45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sales (excluding depreciation and amortization)</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111,531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93,389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305,271</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241,041</w:t>
            </w:r>
          </w:p>
        </w:tc>
      </w:tr>
      <w:tr>
        <w:trPr>
          <w:trHeight w:val="189"/>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12,997</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12,304</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38,344</w:t>
            </w: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39,403</w:t>
            </w:r>
          </w:p>
        </w:tc>
      </w:tr>
      <w:tr>
        <w:trPr>
          <w:trHeight w:val="171"/>
        </w:trPr>
        <w:tc>
          <w:tcPr>
            <w:tcW w:w="45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94,862</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76,656</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260,178</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234,955</w:t>
            </w:r>
          </w:p>
        </w:tc>
      </w:tr>
      <w:tr>
        <w:trPr>
          <w:trHeight w:val="189"/>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19,552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22,632</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60,111</w:t>
            </w: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68,804</w:t>
            </w:r>
          </w:p>
        </w:tc>
      </w:tr>
      <w:tr>
        <w:trPr>
          <w:trHeight w:val="171"/>
        </w:trPr>
        <w:tc>
          <w:tcPr>
            <w:tcW w:w="45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Contingent consideration fair value adjustment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(1,342)</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(25,285)</w:t>
            </w:r>
          </w:p>
        </w:tc>
      </w:tr>
      <w:tr>
        <w:trPr>
          <w:trHeight w:val="189"/>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Loss on disposal of assets</w:t>
            </w:r>
          </w:p>
        </w:tc>
        <w:tc>
          <w:tcPr>
            <w:tcW w:w="10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r>
      <w:tr>
        <w:trPr>
          <w:trHeight w:val="171"/>
        </w:trPr>
        <w:tc>
          <w:tcPr>
            <w:tcW w:w="4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Intangible asset impairment charge</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767</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767</w:t>
            </w:r>
          </w:p>
        </w:tc>
      </w:tr>
      <w:tr>
        <w:trPr>
          <w:trHeight w:val="169"/>
        </w:trPr>
        <w:tc>
          <w:tcPr>
            <w:tcW w:w="4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1"/>
        </w:trPr>
        <w:tc>
          <w:tcPr>
            <w:tcW w:w="4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Total Operating Expenses, net</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238,404</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191,573</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662,562</w:t>
            </w: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559,980</w:t>
            </w:r>
          </w:p>
        </w:tc>
      </w:tr>
      <w:tr>
        <w:trPr>
          <w:trHeight w:val="169"/>
        </w:trPr>
        <w:tc>
          <w:tcPr>
            <w:tcW w:w="4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1"/>
        </w:trPr>
        <w:tc>
          <w:tcPr>
            <w:tcW w:w="4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Operating income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52,373</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36,240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131,721</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76,326</w:t>
            </w:r>
          </w:p>
        </w:tc>
      </w:tr>
      <w:tr>
        <w:trPr>
          <w:trHeight w:val="189"/>
        </w:trPr>
        <w:tc>
          <w:tcPr>
            <w:tcW w:w="4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Unrealized (loss) gain on investment in equity securities</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6,459</w:t>
            </w: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2,551</w:t>
            </w:r>
          </w:p>
        </w:tc>
      </w:tr>
      <w:tr>
        <w:trPr>
          <w:trHeight w:val="171"/>
        </w:trPr>
        <w:tc>
          <w:tcPr>
            <w:tcW w:w="45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 net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(3,056)</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(4,727)</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(10,461)</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(15,649)</w:t>
            </w:r>
          </w:p>
        </w:tc>
      </w:tr>
      <w:tr>
        <w:trPr>
          <w:trHeight w:val="180"/>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(expense) income, net</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w:t>
            </w:r>
          </w:p>
        </w:tc>
        <w:tc>
          <w:tcPr>
            <w:tcW w:w="6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w:t>
            </w:r>
          </w:p>
        </w:tc>
      </w:tr>
      <w:tr>
        <w:trPr>
          <w:trHeight w:val="169"/>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0"/>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Before Income Tax Expense</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49,041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126,359</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64,312</w:t>
            </w:r>
          </w:p>
        </w:tc>
      </w:tr>
      <w:tr>
        <w:trPr>
          <w:trHeight w:val="180"/>
        </w:trPr>
        <w:tc>
          <w:tcPr>
            <w:tcW w:w="4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13,892</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7,183</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37,007</w:t>
            </w:r>
          </w:p>
        </w:tc>
        <w:tc>
          <w:tcPr>
            <w:tcW w:w="6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13,465</w:t>
            </w:r>
          </w:p>
        </w:tc>
      </w:tr>
      <w:tr>
        <w:trPr>
          <w:trHeight w:val="169"/>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Income</w:t>
            </w:r>
          </w:p>
        </w:tc>
        <w:tc>
          <w:tcPr>
            <w:tcW w:w="102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35,149</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center"/>
              <w:ind w:right="9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26,617</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89,352</w:t>
            </w: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50,847</w:t>
            </w:r>
          </w:p>
        </w:tc>
      </w:t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Dividends on Series A Convertible Preferred Stock</w:t>
            </w:r>
          </w:p>
        </w:tc>
        <w:tc>
          <w:tcPr>
            <w:tcW w:w="10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(1,157)</w:t>
            </w:r>
          </w:p>
        </w:tc>
      </w:tr>
      <w:tr>
        <w:trPr>
          <w:trHeight w:val="169"/>
        </w:trPr>
        <w:tc>
          <w:tcPr>
            <w:tcW w:w="45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r>
      <w:tr>
        <w:trPr>
          <w:trHeight w:val="196"/>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Income Available to Common Shareholders</w:t>
            </w:r>
          </w:p>
        </w:tc>
        <w:tc>
          <w:tcPr>
            <w:tcW w:w="102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35,149</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center"/>
              <w:ind w:right="9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26,273</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89,352</w:t>
            </w: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49,690</w:t>
            </w:r>
          </w:p>
        </w:tc>
      </w:t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Basic and Diluted Income Per Share:</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Basic Income Per Share</w:t>
            </w:r>
          </w:p>
        </w:tc>
        <w:tc>
          <w:tcPr>
            <w:tcW w:w="1020" w:type="dxa"/>
            <w:vAlign w:val="bottom"/>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4"/>
                <w:szCs w:val="14"/>
                <w:color w:val="auto"/>
              </w:rPr>
            </w:pPr>
          </w:p>
        </w:tc>
        <w:tc>
          <w:tcPr>
            <w:tcW w:w="1140" w:type="dxa"/>
            <w:vAlign w:val="bottom"/>
          </w:tcPr>
          <w:p>
            <w:pPr>
              <w:jc w:val="center"/>
              <w:ind w:right="9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1040" w:type="dxa"/>
            <w:vAlign w:val="bottom"/>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60" w:type="dxa"/>
            <w:vAlign w:val="bottom"/>
          </w:tcPr>
          <w:p>
            <w:pPr>
              <w:spacing w:after="0"/>
              <w:rPr>
                <w:sz w:val="14"/>
                <w:szCs w:val="14"/>
                <w:color w:val="auto"/>
              </w:rPr>
            </w:pP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w:t>
            </w:r>
          </w:p>
        </w:tc>
      </w:tr>
      <w:tr>
        <w:trPr>
          <w:trHeight w:val="18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Diluted Income Per Share</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center"/>
              <w:ind w:right="9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w:t>
            </w: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w:t>
            </w:r>
          </w:p>
        </w:tc>
      </w:tr>
      <w:tr>
        <w:trPr>
          <w:trHeight w:val="180"/>
        </w:trPr>
        <w:tc>
          <w:tcPr>
            <w:tcW w:w="4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 Weighted-Average Shares Outstanding</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21,212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21,095</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19,840</w:t>
            </w: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 Weighted-Average Shares Outstanding</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21,675</w:t>
            </w:r>
          </w:p>
        </w:tc>
        <w:tc>
          <w:tcPr>
            <w:tcW w:w="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21,093</w:t>
            </w: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21,598</w:t>
            </w:r>
          </w:p>
        </w:tc>
        <w:tc>
          <w:tcPr>
            <w:tcW w:w="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20,911</w:t>
            </w:r>
          </w:p>
        </w:tc>
      </w:tr>
    </w:tbl>
    <w:p>
      <w:pPr>
        <w:sectPr>
          <w:pgSz w:w="11900" w:h="16838" w:orient="portrait"/>
          <w:cols w:equalWidth="0" w:num="1">
            <w:col w:w="11280"/>
          </w:cols>
          <w:pgMar w:left="300" w:top="701"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ANI Pharmaceuticals,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Table 2: US GAAP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(unaudited,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440" w:type="dxa"/>
            <w:vAlign w:val="bottom"/>
          </w:tcPr>
          <w:p>
            <w:pPr>
              <w:spacing w:after="0"/>
              <w:rPr>
                <w:sz w:val="10"/>
                <w:szCs w:val="10"/>
                <w:color w:val="auto"/>
              </w:rPr>
            </w:pPr>
          </w:p>
        </w:tc>
        <w:tc>
          <w:tcPr>
            <w:tcW w:w="172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00" w:type="dxa"/>
            <w:vAlign w:val="bottom"/>
          </w:tcPr>
          <w:p>
            <w:pPr>
              <w:jc w:val="right"/>
              <w:ind w:right="85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6440" w:type="dxa"/>
            <w:vAlign w:val="bottom"/>
          </w:tcPr>
          <w:p>
            <w:pPr>
              <w:spacing w:after="0"/>
              <w:rPr>
                <w:sz w:val="10"/>
                <w:szCs w:val="10"/>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00" w:type="dxa"/>
            <w:vAlign w:val="bottom"/>
          </w:tcPr>
          <w:p>
            <w:pPr>
              <w:jc w:val="right"/>
              <w:ind w:right="103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26"/>
        </w:trPr>
        <w:tc>
          <w:tcPr>
            <w:tcW w:w="64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3"/>
        </w:trPr>
        <w:tc>
          <w:tcPr>
            <w:tcW w:w="6440" w:type="dxa"/>
            <w:vAlign w:val="bottom"/>
            <w:tcBorders>
              <w:bottom w:val="single" w:sz="8" w:color="CCEEFF"/>
            </w:tcBorders>
            <w:shd w:val="clear" w:color="auto" w:fill="CCEEFF"/>
          </w:tcPr>
          <w:p>
            <w:pPr>
              <w:ind w:left="20"/>
              <w:spacing w:after="0" w:line="107" w:lineRule="exact"/>
              <w:rPr>
                <w:sz w:val="20"/>
                <w:szCs w:val="20"/>
                <w:color w:val="auto"/>
              </w:rPr>
            </w:pPr>
            <w:r>
              <w:rPr>
                <w:rFonts w:ascii="Times New Roman" w:cs="Times New Roman" w:eastAsia="Times New Roman" w:hAnsi="Times New Roman"/>
                <w:sz w:val="10"/>
                <w:szCs w:val="10"/>
                <w:color w:val="auto"/>
              </w:rPr>
              <w:t>Current Assets</w:t>
            </w:r>
          </w:p>
        </w:tc>
        <w:tc>
          <w:tcPr>
            <w:tcW w:w="17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900" w:type="dxa"/>
            <w:vAlign w:val="bottom"/>
            <w:tcBorders>
              <w:bottom w:val="single" w:sz="8" w:color="CCEEFF"/>
            </w:tcBorders>
            <w:shd w:val="clear" w:color="auto" w:fill="CCEEFF"/>
          </w:tcPr>
          <w:p>
            <w:pPr>
              <w:spacing w:after="0"/>
              <w:rPr>
                <w:sz w:val="9"/>
                <w:szCs w:val="9"/>
                <w:color w:val="auto"/>
              </w:rPr>
            </w:pP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7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420,758</w:t>
            </w:r>
          </w:p>
        </w:tc>
        <w:tc>
          <w:tcPr>
            <w:tcW w:w="80" w:type="dxa"/>
            <w:vAlign w:val="bottom"/>
          </w:tcPr>
          <w:p>
            <w:pPr>
              <w:spacing w:after="0"/>
              <w:rPr>
                <w:sz w:val="11"/>
                <w:szCs w:val="11"/>
                <w:color w:val="auto"/>
              </w:rPr>
            </w:pPr>
          </w:p>
        </w:tc>
        <w:tc>
          <w:tcPr>
            <w:tcW w:w="480" w:type="dxa"/>
            <w:vAlign w:val="bottom"/>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285,585</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Restricted cash</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Accounts receivable, net</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304,450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281,082</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Inventories</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136,411</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143,067</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25,577</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34,216</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5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Investment in equity securities</w:t>
            </w:r>
          </w:p>
        </w:tc>
        <w:tc>
          <w:tcPr>
            <w:tcW w:w="17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15,590</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9,131</w:t>
            </w:r>
          </w:p>
        </w:tc>
      </w:tr>
      <w:tr>
        <w:trPr>
          <w:trHeight w:val="116"/>
        </w:trPr>
        <w:tc>
          <w:tcPr>
            <w:tcW w:w="64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Total Current Assets</w:t>
            </w:r>
          </w:p>
        </w:tc>
        <w:tc>
          <w:tcPr>
            <w:tcW w:w="17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902,821</w:t>
            </w: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753,117</w:t>
            </w:r>
          </w:p>
        </w:tc>
      </w:tr>
      <w:tr>
        <w:trPr>
          <w:trHeight w:val="26"/>
        </w:trPr>
        <w:tc>
          <w:tcPr>
            <w:tcW w:w="64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3"/>
        </w:trPr>
        <w:tc>
          <w:tcPr>
            <w:tcW w:w="6440" w:type="dxa"/>
            <w:vAlign w:val="bottom"/>
            <w:tcBorders>
              <w:bottom w:val="single" w:sz="8" w:color="CCEEFF"/>
            </w:tcBorders>
            <w:shd w:val="clear" w:color="auto" w:fill="CCEEFF"/>
          </w:tcPr>
          <w:p>
            <w:pPr>
              <w:ind w:left="20"/>
              <w:spacing w:after="0" w:line="107" w:lineRule="exact"/>
              <w:rPr>
                <w:sz w:val="20"/>
                <w:szCs w:val="20"/>
                <w:color w:val="auto"/>
              </w:rPr>
            </w:pPr>
            <w:r>
              <w:rPr>
                <w:rFonts w:ascii="Times New Roman" w:cs="Times New Roman" w:eastAsia="Times New Roman" w:hAnsi="Times New Roman"/>
                <w:sz w:val="10"/>
                <w:szCs w:val="10"/>
                <w:color w:val="auto"/>
              </w:rPr>
              <w:t>Non-current Assets</w:t>
            </w:r>
          </w:p>
        </w:tc>
        <w:tc>
          <w:tcPr>
            <w:tcW w:w="17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900" w:type="dxa"/>
            <w:vAlign w:val="bottom"/>
            <w:tcBorders>
              <w:bottom w:val="single" w:sz="8" w:color="CCEEFF"/>
            </w:tcBorders>
            <w:shd w:val="clear" w:color="auto" w:fill="CCEEFF"/>
          </w:tcPr>
          <w:p>
            <w:pPr>
              <w:spacing w:after="0"/>
              <w:rPr>
                <w:sz w:val="9"/>
                <w:szCs w:val="9"/>
                <w:color w:val="auto"/>
              </w:rPr>
            </w:pP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81,552</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62,476</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Deferred tax assets, net</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74,668</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69,072</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Intangible assets, net</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433,109</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479,526</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Goodwill</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62,480</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62,480</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non-current assets</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13,031</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13,706</w:t>
            </w:r>
          </w:p>
        </w:tc>
      </w:tr>
      <w:tr>
        <w:trPr>
          <w:trHeight w:val="26"/>
        </w:trPr>
        <w:tc>
          <w:tcPr>
            <w:tcW w:w="64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42"/>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Total Assets</w:t>
            </w:r>
          </w:p>
        </w:tc>
        <w:tc>
          <w:tcPr>
            <w:tcW w:w="1720" w:type="dxa"/>
            <w:vAlign w:val="bottom"/>
            <w:tcBorders>
              <w:bottom w:val="single" w:sz="8" w:color="CCEEFF"/>
            </w:tcBorders>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1,567,661</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1,440,377</w:t>
            </w:r>
          </w:p>
        </w:tc>
      </w:tr>
      <w:tr>
        <w:trPr>
          <w:trHeight w:val="160"/>
        </w:trPr>
        <w:tc>
          <w:tcPr>
            <w:tcW w:w="644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r>
      <w:tr>
        <w:trPr>
          <w:trHeight w:val="1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Current Liabilities</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spacing w:after="0"/>
              <w:rPr>
                <w:sz w:val="11"/>
                <w:szCs w:val="11"/>
                <w:color w:val="auto"/>
              </w:rPr>
            </w:pP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Accounts payable</w:t>
            </w:r>
          </w:p>
        </w:tc>
        <w:tc>
          <w:tcPr>
            <w:tcW w:w="17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74,415</w:t>
            </w:r>
          </w:p>
        </w:tc>
        <w:tc>
          <w:tcPr>
            <w:tcW w:w="80" w:type="dxa"/>
            <w:vAlign w:val="bottom"/>
          </w:tcPr>
          <w:p>
            <w:pPr>
              <w:spacing w:after="0"/>
              <w:rPr>
                <w:sz w:val="11"/>
                <w:szCs w:val="11"/>
                <w:color w:val="auto"/>
              </w:rPr>
            </w:pPr>
          </w:p>
        </w:tc>
        <w:tc>
          <w:tcPr>
            <w:tcW w:w="480" w:type="dxa"/>
            <w:vAlign w:val="bottom"/>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62,583</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Accrued royalties</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66,054</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48,497</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Accrued compensation and related expenses</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34,950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37,897</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Accrued government rebates</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56,635</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43,154</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Returned goods reserve</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45,648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49,504</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Accrued expenses and other</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18,674</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16,970</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Income taxes payable</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8,979</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2,239</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5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Current debt, net</w:t>
            </w:r>
          </w:p>
        </w:tc>
        <w:tc>
          <w:tcPr>
            <w:tcW w:w="17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23,362</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17,268</w:t>
            </w:r>
          </w:p>
        </w:tc>
      </w:tr>
      <w:tr>
        <w:trPr>
          <w:trHeight w:val="116"/>
        </w:trPr>
        <w:tc>
          <w:tcPr>
            <w:tcW w:w="64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Total Current Liabilities</w:t>
            </w:r>
          </w:p>
        </w:tc>
        <w:tc>
          <w:tcPr>
            <w:tcW w:w="17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328,717</w:t>
            </w: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278,112</w:t>
            </w:r>
          </w:p>
        </w:tc>
      </w:tr>
      <w:tr>
        <w:trPr>
          <w:trHeight w:val="26"/>
        </w:trPr>
        <w:tc>
          <w:tcPr>
            <w:tcW w:w="64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60"/>
        </w:trPr>
        <w:tc>
          <w:tcPr>
            <w:tcW w:w="64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r>
      <w:tr>
        <w:trPr>
          <w:trHeight w:val="127"/>
        </w:trPr>
        <w:tc>
          <w:tcPr>
            <w:tcW w:w="6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Non-current Liabilities</w:t>
            </w:r>
          </w:p>
        </w:tc>
        <w:tc>
          <w:tcPr>
            <w:tcW w:w="1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Debt, net</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274,314</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291,840</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Convertible notes, net</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309,556</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307,927</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Contingent consideration</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7,836</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9,610</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non-current liabilities</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10,125</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12,164</w:t>
            </w:r>
          </w:p>
        </w:tc>
      </w:tr>
      <w:tr>
        <w:trPr>
          <w:trHeight w:val="26"/>
        </w:trPr>
        <w:tc>
          <w:tcPr>
            <w:tcW w:w="64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42"/>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Total Liabilities</w:t>
            </w:r>
          </w:p>
        </w:tc>
        <w:tc>
          <w:tcPr>
            <w:tcW w:w="1720" w:type="dxa"/>
            <w:vAlign w:val="bottom"/>
            <w:tcBorders>
              <w:bottom w:val="single" w:sz="8" w:color="CCEEFF"/>
            </w:tcBorders>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930,548</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899,653</w:t>
            </w:r>
          </w:p>
        </w:tc>
      </w:tr>
      <w:tr>
        <w:trPr>
          <w:trHeight w:val="160"/>
        </w:trPr>
        <w:tc>
          <w:tcPr>
            <w:tcW w:w="644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r>
      <w:tr>
        <w:trPr>
          <w:trHeight w:val="1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Stockholders’ Equity</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spacing w:after="0"/>
              <w:rPr>
                <w:sz w:val="11"/>
                <w:szCs w:val="11"/>
                <w:color w:val="auto"/>
              </w:rPr>
            </w:pP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Common Stock</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Class C Special Stock</w:t>
            </w:r>
          </w:p>
        </w:tc>
        <w:tc>
          <w:tcPr>
            <w:tcW w:w="17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Preferred Stock</w:t>
            </w:r>
          </w:p>
        </w:tc>
        <w:tc>
          <w:tcPr>
            <w:tcW w:w="172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Treasury stock</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(62,212)</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(33,249)</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634,239</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596,036</w:t>
            </w:r>
          </w:p>
        </w:tc>
      </w:tr>
      <w:tr>
        <w:trPr>
          <w:trHeight w:val="26"/>
        </w:trPr>
        <w:tc>
          <w:tcPr>
            <w:tcW w:w="6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Retained earnings (Accumulated deficit)</w:t>
            </w:r>
          </w:p>
        </w:tc>
        <w:tc>
          <w:tcPr>
            <w:tcW w:w="17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66,253</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(23,099)</w:t>
            </w:r>
          </w:p>
        </w:tc>
      </w:tr>
      <w:tr>
        <w:trPr>
          <w:trHeight w:val="127"/>
        </w:trPr>
        <w:tc>
          <w:tcPr>
            <w:tcW w:w="6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Accumulated other comprehensive (loss) income, net of tax</w:t>
            </w:r>
          </w:p>
        </w:tc>
        <w:tc>
          <w:tcPr>
            <w:tcW w:w="17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1,033</w:t>
            </w:r>
          </w:p>
        </w:tc>
      </w:tr>
      <w:tr>
        <w:trPr>
          <w:trHeight w:val="26"/>
        </w:trPr>
        <w:tc>
          <w:tcPr>
            <w:tcW w:w="64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42"/>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Total Stockholders’ Equity</w:t>
            </w:r>
          </w:p>
        </w:tc>
        <w:tc>
          <w:tcPr>
            <w:tcW w:w="17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637,113</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540,724</w:t>
            </w:r>
          </w:p>
        </w:tc>
      </w:tr>
      <w:tr>
        <w:trPr>
          <w:trHeight w:val="160"/>
        </w:trPr>
        <w:tc>
          <w:tcPr>
            <w:tcW w:w="6440" w:type="dxa"/>
            <w:vAlign w:val="bottom"/>
            <w:tcBorders>
              <w:bottom w:val="single" w:sz="8" w:color="CCEEFF"/>
            </w:tcBorders>
          </w:tcPr>
          <w:p>
            <w:pPr>
              <w:spacing w:after="0"/>
              <w:rPr>
                <w:sz w:val="13"/>
                <w:szCs w:val="13"/>
                <w:color w:val="auto"/>
              </w:rPr>
            </w:pPr>
          </w:p>
        </w:tc>
        <w:tc>
          <w:tcPr>
            <w:tcW w:w="17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900" w:type="dxa"/>
            <w:vAlign w:val="bottom"/>
            <w:tcBorders>
              <w:top w:val="single" w:sz="8" w:color="auto"/>
              <w:bottom w:val="single" w:sz="8" w:color="auto"/>
            </w:tcBorders>
          </w:tcPr>
          <w:p>
            <w:pPr>
              <w:spacing w:after="0"/>
              <w:rPr>
                <w:sz w:val="13"/>
                <w:szCs w:val="13"/>
                <w:color w:val="auto"/>
              </w:rPr>
            </w:pPr>
          </w:p>
        </w:tc>
      </w:tr>
      <w:tr>
        <w:trPr>
          <w:trHeight w:val="122"/>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Total Liabilities and Stockholders’ Equity</w:t>
            </w:r>
          </w:p>
        </w:tc>
        <w:tc>
          <w:tcPr>
            <w:tcW w:w="1720" w:type="dxa"/>
            <w:vAlign w:val="bottom"/>
            <w:tcBorders>
              <w:bottom w:val="single" w:sz="8" w:color="CCEEFF"/>
            </w:tcBorders>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1,567,661</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1,440,377</w:t>
            </w:r>
          </w:p>
        </w:tc>
      </w:tr>
      <w:tr>
        <w:trPr>
          <w:trHeight w:val="20"/>
        </w:trPr>
        <w:tc>
          <w:tcPr>
            <w:tcW w:w="64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80"/>
          </w:cols>
          <w:pgMar w:left="300" w:top="701" w:right="31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ANI Pharmaceuticals,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Table 3: Adjusted non-GAAP EBITDA Calculation and US GAAP to Non-GAAP Reconciliation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1"/>
                <w:szCs w:val="11"/>
                <w:b w:val="1"/>
                <w:bCs w:val="1"/>
                <w:color w:val="auto"/>
              </w:rPr>
              <w:t>Reconciliation of certain adjusted non-GAAP accounts: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28"/>
        </w:trPr>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Cost of sales (excluding</w:t>
            </w:r>
          </w:p>
        </w:tc>
        <w:tc>
          <w:tcPr>
            <w:tcW w:w="160" w:type="dxa"/>
            <w:vAlign w:val="bottom"/>
          </w:tcPr>
          <w:p>
            <w:pPr>
              <w:spacing w:after="0"/>
              <w:rPr>
                <w:sz w:val="11"/>
                <w:szCs w:val="11"/>
                <w:color w:val="auto"/>
              </w:rPr>
            </w:pPr>
          </w:p>
        </w:tc>
        <w:tc>
          <w:tcPr>
            <w:tcW w:w="142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Selling, general, and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1"/>
        </w:trPr>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Net Revenues</w:t>
            </w:r>
          </w:p>
        </w:tc>
        <w:tc>
          <w:tcPr>
            <w:tcW w:w="158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depreciation and amortization)</w:t>
            </w:r>
          </w:p>
        </w:tc>
        <w:tc>
          <w:tcPr>
            <w:tcW w:w="160" w:type="dxa"/>
            <w:vAlign w:val="bottom"/>
          </w:tcPr>
          <w:p>
            <w:pPr>
              <w:spacing w:after="0"/>
              <w:rPr>
                <w:sz w:val="13"/>
                <w:szCs w:val="13"/>
                <w:color w:val="auto"/>
              </w:rPr>
            </w:pPr>
          </w:p>
        </w:tc>
        <w:tc>
          <w:tcPr>
            <w:tcW w:w="142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administrative</w:t>
            </w:r>
          </w:p>
        </w:tc>
        <w:tc>
          <w:tcPr>
            <w:tcW w:w="120" w:type="dxa"/>
            <w:vAlign w:val="bottom"/>
          </w:tcPr>
          <w:p>
            <w:pPr>
              <w:spacing w:after="0"/>
              <w:rPr>
                <w:sz w:val="13"/>
                <w:szCs w:val="13"/>
                <w:color w:val="auto"/>
              </w:rPr>
            </w:pPr>
          </w:p>
        </w:tc>
        <w:tc>
          <w:tcPr>
            <w:tcW w:w="1420" w:type="dxa"/>
            <w:vAlign w:val="bottom"/>
            <w:gridSpan w:val="4"/>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Research and development</w:t>
            </w:r>
          </w:p>
        </w:tc>
      </w:tr>
      <w:tr>
        <w:trPr>
          <w:trHeight w:val="146"/>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4"/>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140" w:type="dxa"/>
            <w:vAlign w:val="bottom"/>
          </w:tcPr>
          <w:p>
            <w:pPr>
              <w:spacing w:after="0"/>
              <w:rPr>
                <w:sz w:val="12"/>
                <w:szCs w:val="12"/>
                <w:color w:val="auto"/>
              </w:rPr>
            </w:pPr>
          </w:p>
        </w:tc>
        <w:tc>
          <w:tcPr>
            <w:tcW w:w="144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60" w:type="dxa"/>
            <w:vAlign w:val="bottom"/>
          </w:tcPr>
          <w:p>
            <w:pPr>
              <w:spacing w:after="0"/>
              <w:rPr>
                <w:sz w:val="12"/>
                <w:szCs w:val="12"/>
                <w:color w:val="auto"/>
              </w:rPr>
            </w:pPr>
          </w:p>
        </w:tc>
        <w:tc>
          <w:tcPr>
            <w:tcW w:w="142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20" w:type="dxa"/>
            <w:vAlign w:val="bottom"/>
          </w:tcPr>
          <w:p>
            <w:pPr>
              <w:spacing w:after="0"/>
              <w:rPr>
                <w:sz w:val="12"/>
                <w:szCs w:val="12"/>
                <w:color w:val="auto"/>
              </w:rPr>
            </w:pPr>
          </w:p>
        </w:tc>
        <w:tc>
          <w:tcPr>
            <w:tcW w:w="1420" w:type="dxa"/>
            <w:vAlign w:val="bottom"/>
            <w:gridSpan w:val="4"/>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r>
      <w:tr>
        <w:trPr>
          <w:trHeight w:val="142"/>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40" w:type="dxa"/>
            <w:vAlign w:val="bottom"/>
          </w:tcPr>
          <w:p>
            <w:pPr>
              <w:spacing w:after="0"/>
              <w:rPr>
                <w:sz w:val="12"/>
                <w:szCs w:val="12"/>
                <w:color w:val="auto"/>
              </w:rPr>
            </w:pPr>
          </w:p>
        </w:tc>
        <w:tc>
          <w:tcPr>
            <w:tcW w:w="144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60" w:type="dxa"/>
            <w:vAlign w:val="bottom"/>
          </w:tcPr>
          <w:p>
            <w:pPr>
              <w:spacing w:after="0"/>
              <w:rPr>
                <w:sz w:val="12"/>
                <w:szCs w:val="12"/>
                <w:color w:val="auto"/>
              </w:rPr>
            </w:pPr>
          </w:p>
        </w:tc>
        <w:tc>
          <w:tcPr>
            <w:tcW w:w="142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20" w:type="dxa"/>
            <w:vAlign w:val="bottom"/>
          </w:tcPr>
          <w:p>
            <w:pPr>
              <w:spacing w:after="0"/>
              <w:rPr>
                <w:sz w:val="12"/>
                <w:szCs w:val="12"/>
                <w:color w:val="auto"/>
              </w:rPr>
            </w:pPr>
          </w:p>
        </w:tc>
        <w:tc>
          <w:tcPr>
            <w:tcW w:w="1420" w:type="dxa"/>
            <w:vAlign w:val="bottom"/>
            <w:gridSpan w:val="4"/>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r>
      <w:tr>
        <w:trPr>
          <w:trHeight w:val="178"/>
        </w:trPr>
        <w:tc>
          <w:tcPr>
            <w:tcW w:w="1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9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8"/>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35,149</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26,617</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As reported:</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290,777</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227,813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111,531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93,389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94,862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76,656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12,997</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12,304</w:t>
            </w:r>
          </w:p>
        </w:tc>
      </w:tr>
      <w:tr>
        <w:trPr>
          <w:trHeight w:val="180"/>
        </w:trPr>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62"/>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Add/(Subtract):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56"/>
        </w:trPr>
        <w:tc>
          <w:tcPr>
            <w:tcW w:w="1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Interest expense, net</w:t>
            </w:r>
          </w:p>
        </w:tc>
        <w:tc>
          <w:tcPr>
            <w:tcW w:w="14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3,056</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4,727</w:t>
            </w: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8"/>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expense, net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241</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56"/>
        </w:trPr>
        <w:tc>
          <w:tcPr>
            <w:tcW w:w="1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Income tax expense</w:t>
            </w:r>
          </w:p>
        </w:tc>
        <w:tc>
          <w:tcPr>
            <w:tcW w:w="14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13,892</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7,183</w:t>
            </w: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8"/>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19,552</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22,632</w:t>
            </w: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35"/>
        </w:trPr>
        <w:tc>
          <w:tcPr>
            <w:tcW w:w="1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Contingent consideration fair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6"/>
        </w:trPr>
        <w:tc>
          <w:tcPr>
            <w:tcW w:w="1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value adjustment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(14,470)</w:t>
            </w: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1"/>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loss (gain) on</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 in equity securities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(3,140)</w:t>
            </w: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35"/>
        </w:trPr>
        <w:tc>
          <w:tcPr>
            <w:tcW w:w="1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Intangible asset impairment</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6"/>
        </w:trPr>
        <w:tc>
          <w:tcPr>
            <w:tcW w:w="1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charge</w:t>
            </w: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8"/>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Loss on disposal of assets</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56"/>
        </w:trPr>
        <w:tc>
          <w:tcPr>
            <w:tcW w:w="1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4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11,631</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9,691</w:t>
            </w:r>
          </w:p>
        </w:tc>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(10,435)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w:t>
            </w:r>
          </w:p>
        </w:tc>
      </w:tr>
      <w:tr>
        <w:trPr>
          <w:trHeight w:val="141"/>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M&amp;A transaction and</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M&amp;A transaction and integration</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integration expenses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expenses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1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Litigation expenses</w:t>
            </w:r>
          </w:p>
        </w:tc>
        <w:tc>
          <w:tcPr>
            <w:tcW w:w="14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310</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3,847</w:t>
            </w:r>
          </w:p>
        </w:tc>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Litigation expenses</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3"/>
        </w:trPr>
        <w:tc>
          <w:tcPr>
            <w:tcW w:w="1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Adjusted non-GAAP EBITDA</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83,295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59,601</w:t>
            </w:r>
          </w:p>
        </w:tc>
        <w:tc>
          <w:tcPr>
            <w:tcW w:w="19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As adjusted:</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290,777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227,813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110,988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92,873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84,150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63,550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12,344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11,789</w:t>
            </w:r>
          </w:p>
        </w:tc>
      </w:tr>
    </w:tbl>
    <w:p>
      <w:pPr>
        <w:sectPr>
          <w:pgSz w:w="11900" w:h="16838" w:orient="portrait"/>
          <w:cols w:equalWidth="0" w:num="1">
            <w:col w:w="11300"/>
          </w:cols>
          <w:pgMar w:left="300" w:top="701" w:right="29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2260" w:type="dxa"/>
            <w:vAlign w:val="bottom"/>
            <w:gridSpan w:val="5"/>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240" w:type="dxa"/>
            <w:vAlign w:val="bottom"/>
          </w:tcPr>
          <w:p>
            <w:pPr>
              <w:spacing w:after="0"/>
              <w:rPr>
                <w:sz w:val="12"/>
                <w:szCs w:val="12"/>
                <w:color w:val="auto"/>
              </w:rPr>
            </w:pPr>
          </w:p>
        </w:tc>
      </w:tr>
      <w:tr>
        <w:trPr>
          <w:trHeight w:val="168"/>
        </w:trPr>
        <w:tc>
          <w:tcPr>
            <w:tcW w:w="17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40" w:type="dxa"/>
            <w:vAlign w:val="bottom"/>
          </w:tcPr>
          <w:p>
            <w:pPr>
              <w:spacing w:after="0"/>
              <w:rPr>
                <w:sz w:val="14"/>
                <w:szCs w:val="14"/>
                <w:color w:val="auto"/>
              </w:rPr>
            </w:pPr>
          </w:p>
        </w:tc>
      </w:tr>
      <w:tr>
        <w:trPr>
          <w:trHeight w:val="144"/>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89,352</w:t>
            </w:r>
          </w:p>
        </w:tc>
        <w:tc>
          <w:tcPr>
            <w:tcW w:w="6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50,847</w:t>
            </w:r>
          </w:p>
        </w:tc>
        <w:tc>
          <w:tcPr>
            <w:tcW w:w="1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As reported:</w:t>
            </w:r>
          </w:p>
        </w:tc>
      </w:tr>
      <w:tr>
        <w:trPr>
          <w:trHeight w:val="34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Add/(Subtract):</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2"/>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Interest expense, net</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15,649</w:t>
            </w:r>
          </w:p>
        </w:tc>
        <w:tc>
          <w:tcPr>
            <w:tcW w:w="1240" w:type="dxa"/>
            <w:vAlign w:val="bottom"/>
          </w:tcPr>
          <w:p>
            <w:pPr>
              <w:spacing w:after="0"/>
              <w:rPr>
                <w:sz w:val="14"/>
                <w:szCs w:val="14"/>
                <w:color w:val="auto"/>
              </w:rPr>
            </w:pPr>
          </w:p>
        </w:tc>
      </w:tr>
      <w:tr>
        <w:trPr>
          <w:trHeight w:val="162"/>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expense (income), net</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w:t>
            </w:r>
          </w:p>
        </w:tc>
        <w:tc>
          <w:tcPr>
            <w:tcW w:w="1240" w:type="dxa"/>
            <w:vAlign w:val="bottom"/>
          </w:tcPr>
          <w:p>
            <w:pPr>
              <w:spacing w:after="0"/>
              <w:rPr>
                <w:sz w:val="14"/>
                <w:szCs w:val="14"/>
                <w:color w:val="auto"/>
              </w:rPr>
            </w:pPr>
          </w:p>
        </w:tc>
      </w:tr>
      <w:tr>
        <w:trPr>
          <w:trHeight w:val="162"/>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Income tax expense</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37,007</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13,465</w:t>
            </w:r>
          </w:p>
        </w:tc>
        <w:tc>
          <w:tcPr>
            <w:tcW w:w="1240" w:type="dxa"/>
            <w:vAlign w:val="bottom"/>
          </w:tcPr>
          <w:p>
            <w:pPr>
              <w:spacing w:after="0"/>
              <w:rPr>
                <w:sz w:val="14"/>
                <w:szCs w:val="14"/>
                <w:color w:val="auto"/>
              </w:rPr>
            </w:pPr>
          </w:p>
        </w:tc>
      </w:tr>
      <w:tr>
        <w:trPr>
          <w:trHeight w:val="162"/>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60,111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68,804</w:t>
            </w:r>
          </w:p>
        </w:tc>
        <w:tc>
          <w:tcPr>
            <w:tcW w:w="1240" w:type="dxa"/>
            <w:vAlign w:val="bottom"/>
          </w:tcPr>
          <w:p>
            <w:pPr>
              <w:spacing w:after="0"/>
              <w:rPr>
                <w:sz w:val="14"/>
                <w:szCs w:val="14"/>
                <w:color w:val="auto"/>
              </w:rPr>
            </w:pPr>
          </w:p>
        </w:tc>
      </w:tr>
      <w:tr>
        <w:trPr>
          <w:trHeight w:val="148"/>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Contingent consideration fair</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value adjustment</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(25,285)</w:t>
            </w:r>
          </w:p>
        </w:tc>
        <w:tc>
          <w:tcPr>
            <w:tcW w:w="1240" w:type="dxa"/>
            <w:vAlign w:val="bottom"/>
          </w:tcPr>
          <w:p>
            <w:pPr>
              <w:spacing w:after="0"/>
              <w:rPr>
                <w:sz w:val="12"/>
                <w:szCs w:val="12"/>
                <w:color w:val="auto"/>
              </w:rPr>
            </w:pPr>
          </w:p>
        </w:tc>
      </w:tr>
      <w:tr>
        <w:trPr>
          <w:trHeight w:val="148"/>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Unrealized gain on investment in</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equity securities</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(2,551)</w:t>
            </w:r>
          </w:p>
        </w:tc>
        <w:tc>
          <w:tcPr>
            <w:tcW w:w="1240" w:type="dxa"/>
            <w:vAlign w:val="bottom"/>
          </w:tcPr>
          <w:p>
            <w:pPr>
              <w:spacing w:after="0"/>
              <w:rPr>
                <w:sz w:val="12"/>
                <w:szCs w:val="12"/>
                <w:color w:val="auto"/>
              </w:rPr>
            </w:pPr>
          </w:p>
        </w:tc>
      </w:tr>
      <w:tr>
        <w:trPr>
          <w:trHeight w:val="148"/>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Intangible asset impairment</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charge</w:t>
            </w:r>
          </w:p>
        </w:tc>
        <w:tc>
          <w:tcPr>
            <w:tcW w:w="6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1240" w:type="dxa"/>
            <w:vAlign w:val="bottom"/>
          </w:tcPr>
          <w:p>
            <w:pPr>
              <w:spacing w:after="0"/>
              <w:rPr>
                <w:sz w:val="12"/>
                <w:szCs w:val="12"/>
                <w:color w:val="auto"/>
              </w:rPr>
            </w:pPr>
          </w:p>
        </w:tc>
      </w:tr>
      <w:tr>
        <w:trPr>
          <w:trHeight w:val="162"/>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Loss on disposal of assets</w:t>
            </w:r>
          </w:p>
        </w:tc>
        <w:tc>
          <w:tcPr>
            <w:tcW w:w="6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240" w:type="dxa"/>
            <w:vAlign w:val="bottom"/>
          </w:tcPr>
          <w:p>
            <w:pPr>
              <w:spacing w:after="0"/>
              <w:rPr>
                <w:sz w:val="14"/>
                <w:szCs w:val="14"/>
                <w:color w:val="auto"/>
              </w:rPr>
            </w:pPr>
          </w:p>
        </w:tc>
      </w:tr>
      <w:tr>
        <w:trPr>
          <w:trHeight w:val="162"/>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33,228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28,161</w:t>
            </w:r>
          </w:p>
        </w:tc>
        <w:tc>
          <w:tcPr>
            <w:tcW w:w="124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96"/>
              </w:rPr>
              <w:t>Stock-based compensation</w:t>
            </w:r>
          </w:p>
        </w:tc>
      </w:tr>
      <w:tr>
        <w:trPr>
          <w:trHeight w:val="148"/>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M&amp;A transaction and integration</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M&amp;A transaction and</w:t>
            </w:r>
          </w:p>
        </w:tc>
      </w:tr>
      <w:tr>
        <w:trPr>
          <w:trHeight w:val="149"/>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expenses</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3,216</w:t>
            </w:r>
          </w:p>
        </w:tc>
        <w:tc>
          <w:tcPr>
            <w:tcW w:w="1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integration expenses</w:t>
            </w:r>
          </w:p>
        </w:tc>
      </w:tr>
      <w:tr>
        <w:trPr>
          <w:trHeight w:val="148"/>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Litigation expenses and</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Litigation expenses and</w:t>
            </w:r>
          </w:p>
        </w:tc>
      </w:tr>
      <w:tr>
        <w:trPr>
          <w:trHeight w:val="149"/>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settlement proceeds</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(6,098)</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1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settlement proceeds</w:t>
            </w:r>
          </w:p>
        </w:tc>
      </w:tr>
      <w:tr>
        <w:trPr>
          <w:trHeight w:val="168"/>
        </w:trPr>
        <w:tc>
          <w:tcPr>
            <w:tcW w:w="1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Severance</w:t>
            </w:r>
          </w:p>
        </w:tc>
        <w:tc>
          <w:tcPr>
            <w:tcW w:w="6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Severance</w:t>
            </w:r>
          </w:p>
        </w:tc>
      </w:tr>
      <w:tr>
        <w:trPr>
          <w:trHeight w:val="158"/>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Adjusted non-GAAP EBITDA</w:t>
            </w:r>
          </w:p>
        </w:tc>
        <w:tc>
          <w:tcPr>
            <w:tcW w:w="680" w:type="dxa"/>
            <w:vAlign w:val="bottom"/>
            <w:tcBorders>
              <w:top w:val="single" w:sz="8" w:color="auto"/>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217,888</w:t>
            </w: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164,427</w:t>
            </w:r>
          </w:p>
        </w:tc>
        <w:tc>
          <w:tcPr>
            <w:tcW w:w="1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As adjusted:</w:t>
            </w:r>
          </w:p>
        </w:tc>
      </w:tr>
      <w:tr>
        <w:trPr>
          <w:trHeight w:val="20"/>
        </w:trPr>
        <w:tc>
          <w:tcPr>
            <w:tcW w:w="1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Reconciliation of certain adjusted non-GAAP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37604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0470" cy="571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Cost of sales (excluding</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6"/>
        </w:trPr>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160" w:type="dxa"/>
            <w:vAlign w:val="bottom"/>
          </w:tcPr>
          <w:p>
            <w:pPr>
              <w:spacing w:after="0"/>
              <w:rPr>
                <w:sz w:val="10"/>
                <w:szCs w:val="10"/>
                <w:color w:val="auto"/>
              </w:rPr>
            </w:pPr>
          </w:p>
        </w:tc>
        <w:tc>
          <w:tcPr>
            <w:tcW w:w="13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Selling, general, and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1"/>
        </w:trPr>
        <w:tc>
          <w:tcPr>
            <w:tcW w:w="140" w:type="dxa"/>
            <w:vAlign w:val="bottom"/>
          </w:tcPr>
          <w:p>
            <w:pPr>
              <w:spacing w:after="0"/>
              <w:rPr>
                <w:sz w:val="13"/>
                <w:szCs w:val="13"/>
                <w:color w:val="auto"/>
              </w:rPr>
            </w:pPr>
          </w:p>
        </w:tc>
        <w:tc>
          <w:tcPr>
            <w:tcW w:w="13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Net Revenues</w:t>
            </w:r>
          </w:p>
        </w:tc>
        <w:tc>
          <w:tcPr>
            <w:tcW w:w="140" w:type="dxa"/>
            <w:vAlign w:val="bottom"/>
          </w:tcPr>
          <w:p>
            <w:pPr>
              <w:spacing w:after="0"/>
              <w:rPr>
                <w:sz w:val="13"/>
                <w:szCs w:val="13"/>
                <w:color w:val="auto"/>
              </w:rPr>
            </w:pPr>
          </w:p>
        </w:tc>
        <w:tc>
          <w:tcPr>
            <w:tcW w:w="136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amortization)</w:t>
            </w:r>
          </w:p>
        </w:tc>
        <w:tc>
          <w:tcPr>
            <w:tcW w:w="160" w:type="dxa"/>
            <w:vAlign w:val="bottom"/>
          </w:tcPr>
          <w:p>
            <w:pPr>
              <w:spacing w:after="0"/>
              <w:rPr>
                <w:sz w:val="13"/>
                <w:szCs w:val="13"/>
                <w:color w:val="auto"/>
              </w:rPr>
            </w:pPr>
          </w:p>
        </w:tc>
        <w:tc>
          <w:tcPr>
            <w:tcW w:w="134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administrative</w:t>
            </w:r>
          </w:p>
        </w:tc>
        <w:tc>
          <w:tcPr>
            <w:tcW w:w="80" w:type="dxa"/>
            <w:vAlign w:val="bottom"/>
          </w:tcPr>
          <w:p>
            <w:pPr>
              <w:spacing w:after="0"/>
              <w:rPr>
                <w:sz w:val="13"/>
                <w:szCs w:val="13"/>
                <w:color w:val="auto"/>
              </w:rPr>
            </w:pPr>
          </w:p>
        </w:tc>
        <w:tc>
          <w:tcPr>
            <w:tcW w:w="1360" w:type="dxa"/>
            <w:vAlign w:val="bottom"/>
            <w:gridSpan w:val="4"/>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Research and development</w:t>
            </w:r>
          </w:p>
        </w:tc>
      </w:tr>
      <w:tr>
        <w:trPr>
          <w:trHeight w:val="146"/>
        </w:trPr>
        <w:tc>
          <w:tcPr>
            <w:tcW w:w="140" w:type="dxa"/>
            <w:vAlign w:val="bottom"/>
          </w:tcPr>
          <w:p>
            <w:pPr>
              <w:spacing w:after="0"/>
              <w:rPr>
                <w:sz w:val="12"/>
                <w:szCs w:val="12"/>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140" w:type="dxa"/>
            <w:vAlign w:val="bottom"/>
          </w:tcPr>
          <w:p>
            <w:pPr>
              <w:spacing w:after="0"/>
              <w:rPr>
                <w:sz w:val="12"/>
                <w:szCs w:val="12"/>
                <w:color w:val="auto"/>
              </w:rPr>
            </w:pPr>
          </w:p>
        </w:tc>
        <w:tc>
          <w:tcPr>
            <w:tcW w:w="136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Nine Months Ended</w:t>
            </w:r>
          </w:p>
        </w:tc>
        <w:tc>
          <w:tcPr>
            <w:tcW w:w="160" w:type="dxa"/>
            <w:vAlign w:val="bottom"/>
          </w:tcPr>
          <w:p>
            <w:pPr>
              <w:spacing w:after="0"/>
              <w:rPr>
                <w:sz w:val="12"/>
                <w:szCs w:val="12"/>
                <w:color w:val="auto"/>
              </w:rPr>
            </w:pPr>
          </w:p>
        </w:tc>
        <w:tc>
          <w:tcPr>
            <w:tcW w:w="134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80" w:type="dxa"/>
            <w:vAlign w:val="bottom"/>
          </w:tcPr>
          <w:p>
            <w:pPr>
              <w:spacing w:after="0"/>
              <w:rPr>
                <w:sz w:val="12"/>
                <w:szCs w:val="12"/>
                <w:color w:val="auto"/>
              </w:rPr>
            </w:pPr>
          </w:p>
        </w:tc>
        <w:tc>
          <w:tcPr>
            <w:tcW w:w="1360" w:type="dxa"/>
            <w:vAlign w:val="bottom"/>
            <w:gridSpan w:val="4"/>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r>
      <w:tr>
        <w:trPr>
          <w:trHeight w:val="142"/>
        </w:trPr>
        <w:tc>
          <w:tcPr>
            <w:tcW w:w="140" w:type="dxa"/>
            <w:vAlign w:val="bottom"/>
          </w:tcPr>
          <w:p>
            <w:pPr>
              <w:spacing w:after="0"/>
              <w:rPr>
                <w:sz w:val="12"/>
                <w:szCs w:val="12"/>
                <w:color w:val="auto"/>
              </w:rPr>
            </w:pPr>
          </w:p>
        </w:tc>
        <w:tc>
          <w:tcPr>
            <w:tcW w:w="13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40" w:type="dxa"/>
            <w:vAlign w:val="bottom"/>
          </w:tcPr>
          <w:p>
            <w:pPr>
              <w:spacing w:after="0"/>
              <w:rPr>
                <w:sz w:val="12"/>
                <w:szCs w:val="12"/>
                <w:color w:val="auto"/>
              </w:rPr>
            </w:pPr>
          </w:p>
        </w:tc>
        <w:tc>
          <w:tcPr>
            <w:tcW w:w="136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60" w:type="dxa"/>
            <w:vAlign w:val="bottom"/>
          </w:tcPr>
          <w:p>
            <w:pPr>
              <w:spacing w:after="0"/>
              <w:rPr>
                <w:sz w:val="12"/>
                <w:szCs w:val="12"/>
                <w:color w:val="auto"/>
              </w:rPr>
            </w:pPr>
          </w:p>
        </w:tc>
        <w:tc>
          <w:tcPr>
            <w:tcW w:w="13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80" w:type="dxa"/>
            <w:vAlign w:val="bottom"/>
          </w:tcPr>
          <w:p>
            <w:pPr>
              <w:spacing w:after="0"/>
              <w:rPr>
                <w:sz w:val="12"/>
                <w:szCs w:val="12"/>
                <w:color w:val="auto"/>
              </w:rPr>
            </w:pPr>
          </w:p>
        </w:tc>
        <w:tc>
          <w:tcPr>
            <w:tcW w:w="1360" w:type="dxa"/>
            <w:vAlign w:val="bottom"/>
            <w:gridSpan w:val="4"/>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r>
      <w:tr>
        <w:trPr>
          <w:trHeight w:val="178"/>
        </w:trPr>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4"/>
        </w:trPr>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794,283</w:t>
            </w:r>
          </w:p>
        </w:tc>
        <w:tc>
          <w:tcPr>
            <w:tcW w:w="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636,306</w:t>
            </w:r>
          </w:p>
        </w:tc>
        <w:tc>
          <w:tcPr>
            <w:tcW w:w="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305,271</w:t>
            </w:r>
          </w:p>
        </w:tc>
        <w:tc>
          <w:tcPr>
            <w:tcW w:w="6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241,041</w:t>
            </w:r>
          </w:p>
        </w:tc>
        <w:tc>
          <w:tcPr>
            <w:tcW w:w="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260,178</w:t>
            </w:r>
          </w:p>
        </w:tc>
        <w:tc>
          <w:tcPr>
            <w:tcW w:w="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234,955</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38,344</w:t>
            </w:r>
          </w:p>
        </w:tc>
        <w:tc>
          <w:tcPr>
            <w:tcW w:w="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-99695</wp:posOffset>
            </wp:positionV>
            <wp:extent cx="7178040" cy="108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122555</wp:posOffset>
            </wp:positionV>
            <wp:extent cx="717804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328295</wp:posOffset>
            </wp:positionV>
            <wp:extent cx="717804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534035</wp:posOffset>
            </wp:positionV>
            <wp:extent cx="717804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825500</wp:posOffset>
            </wp:positionV>
            <wp:extent cx="717804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88595"/>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1202690</wp:posOffset>
            </wp:positionV>
            <wp:extent cx="717804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(29,745)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(25,241)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(1,624)</w:t>
            </w:r>
          </w:p>
        </w:tc>
      </w:tr>
      <w:tr>
        <w:trPr>
          <w:trHeight w:val="297"/>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97"/>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8"/>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4"/>
              </w:rPr>
              <w:t>$794,283</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636,306</w:t>
            </w: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303,681</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239,745</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236,263</w:t>
            </w:r>
          </w:p>
        </w:tc>
        <w:tc>
          <w:tcPr>
            <w:tcW w:w="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194,355</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36,451</w:t>
            </w: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37,779</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-610870</wp:posOffset>
            </wp:positionV>
            <wp:extent cx="717804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88595"/>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-233680</wp:posOffset>
            </wp:positionV>
            <wp:extent cx="717804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2">
            <w:col w:w="5200" w:space="180"/>
            <w:col w:w="5920"/>
          </w:cols>
          <w:pgMar w:left="300" w:top="776" w:right="29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ANI Pharmaceuticals,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Table 4: US GAAP Gross Margin to Non-GAAP Gross Margin Reconciliation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80" w:type="dxa"/>
            <w:vAlign w:val="bottom"/>
          </w:tcPr>
          <w:p>
            <w:pPr>
              <w:spacing w:after="0"/>
              <w:rPr>
                <w:sz w:val="13"/>
                <w:szCs w:val="13"/>
                <w:color w:val="auto"/>
              </w:rPr>
            </w:pPr>
          </w:p>
        </w:tc>
        <w:tc>
          <w:tcPr>
            <w:tcW w:w="2740" w:type="dxa"/>
            <w:vAlign w:val="bottom"/>
            <w:gridSpan w:val="6"/>
          </w:tcPr>
          <w:p>
            <w:pPr>
              <w:ind w:left="42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60" w:type="dxa"/>
            <w:vAlign w:val="bottom"/>
          </w:tcPr>
          <w:p>
            <w:pPr>
              <w:spacing w:after="0"/>
              <w:rPr>
                <w:sz w:val="13"/>
                <w:szCs w:val="13"/>
                <w:color w:val="auto"/>
              </w:rPr>
            </w:pPr>
          </w:p>
        </w:tc>
        <w:tc>
          <w:tcPr>
            <w:tcW w:w="2420" w:type="dxa"/>
            <w:vAlign w:val="bottom"/>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89"/>
        </w:trPr>
        <w:tc>
          <w:tcPr>
            <w:tcW w:w="58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7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net revenues</w:t>
            </w:r>
          </w:p>
        </w:tc>
        <w:tc>
          <w:tcPr>
            <w:tcW w:w="78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290,777</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227,813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794,283</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636,306</w:t>
            </w:r>
          </w:p>
        </w:tc>
      </w:tr>
      <w:tr>
        <w:trPr>
          <w:trHeight w:val="171"/>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GAAP cost of sales (excluding depreciation and amortization)</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2"/>
              </w:rPr>
              <w:t>111,531</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93,389</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305,271</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241,041</w:t>
            </w:r>
          </w:p>
        </w:tc>
      </w:tr>
      <w:tr>
        <w:trPr>
          <w:trHeight w:val="16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gross profit</w:t>
            </w: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179,246</w:t>
            </w:r>
          </w:p>
        </w:tc>
        <w:tc>
          <w:tcPr>
            <w:tcW w:w="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134,424</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489,012</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395,265</w:t>
            </w:r>
          </w:p>
        </w:tc>
      </w:tr>
      <w:tr>
        <w:trPr>
          <w:trHeight w:val="169"/>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543</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516</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1,590</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1,296</w:t>
            </w:r>
          </w:p>
        </w:tc>
      </w:tr>
      <w:tr>
        <w:trPr>
          <w:trHeight w:val="17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Non-GAAP gross profit</w:t>
            </w: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179,789</w:t>
            </w:r>
          </w:p>
        </w:tc>
        <w:tc>
          <w:tcPr>
            <w:tcW w:w="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134,940</w:t>
            </w: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490,602</w:t>
            </w:r>
          </w:p>
        </w:tc>
        <w:tc>
          <w:tcPr>
            <w:tcW w:w="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396,561</w:t>
            </w:r>
          </w:p>
        </w:tc>
      </w:tr>
      <w:tr>
        <w:trPr>
          <w:trHeight w:val="160"/>
        </w:trPr>
        <w:tc>
          <w:tcPr>
            <w:tcW w:w="5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GAAP gross margin</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61.6 %</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59.0 %</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61.6 %</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62.1 %</w:t>
            </w:r>
          </w:p>
        </w:tc>
      </w:tr>
      <w:tr>
        <w:trPr>
          <w:trHeight w:val="18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Non-GAAP gross margin</w:t>
            </w: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61.8 %</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59.2 %</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61.8 %</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62.3 %</w:t>
            </w:r>
          </w:p>
        </w:tc>
      </w:tr>
    </w:tbl>
    <w:p>
      <w:pPr>
        <w:sectPr>
          <w:pgSz w:w="11900" w:h="16838" w:orient="portrait"/>
          <w:cols w:equalWidth="0" w:num="1">
            <w:col w:w="11300"/>
          </w:cols>
          <w:pgMar w:left="300" w:top="701" w:right="299" w:bottom="1440" w:gutter="0" w:footer="0" w:header="0"/>
        </w:sectPr>
      </w:pPr>
    </w:p>
    <w:bookmarkStart w:id="19" w:name="page20"/>
    <w:bookmarkEnd w:id="1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ANI Pharmaceuticals,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Table 5: Adjusted non-GAAP Net Income and Adjusted non-GAAP Diluted Earnings per Share Reconciliation</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(unaudited, in thousands, except per share amounts)</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800" w:type="dxa"/>
            <w:vAlign w:val="bottom"/>
          </w:tcPr>
          <w:p>
            <w:pPr>
              <w:spacing w:after="0"/>
              <w:rPr>
                <w:sz w:val="13"/>
                <w:szCs w:val="13"/>
                <w:color w:val="auto"/>
              </w:rPr>
            </w:pPr>
          </w:p>
        </w:tc>
        <w:tc>
          <w:tcPr>
            <w:tcW w:w="310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80" w:type="dxa"/>
            <w:vAlign w:val="bottom"/>
            <w:gridSpan w:val="4"/>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89"/>
        </w:trPr>
        <w:tc>
          <w:tcPr>
            <w:tcW w:w="38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7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Available to Common Shareholders</w:t>
            </w:r>
          </w:p>
        </w:tc>
        <w:tc>
          <w:tcPr>
            <w:tcW w:w="1240" w:type="dxa"/>
            <w:vAlign w:val="bottom"/>
            <w:shd w:val="clear" w:color="auto" w:fill="CCEEFF"/>
          </w:tcPr>
          <w:p>
            <w:pPr>
              <w:jc w:val="right"/>
              <w:ind w:right="11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35,149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26,273</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89,352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49,690</w:t>
            </w:r>
          </w:p>
        </w:tc>
      </w:tr>
      <w:tr>
        <w:trPr>
          <w:trHeight w:val="180"/>
        </w:trPr>
        <w:tc>
          <w:tcPr>
            <w:tcW w:w="3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Add/(Subtract):</w:t>
            </w:r>
          </w:p>
        </w:tc>
        <w:tc>
          <w:tcPr>
            <w:tcW w:w="1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3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Non-cash interest expense</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w:t>
            </w:r>
          </w:p>
        </w:tc>
      </w:tr>
      <w:tr>
        <w:trPr>
          <w:trHeight w:val="18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19,552</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22,632</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60,111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68,804</w:t>
            </w:r>
          </w:p>
        </w:tc>
      </w:tr>
      <w:tr>
        <w:trPr>
          <w:trHeight w:val="171"/>
        </w:trPr>
        <w:tc>
          <w:tcPr>
            <w:tcW w:w="3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Contingent consideration fair value adjustment</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(25,285)</w:t>
            </w:r>
          </w:p>
        </w:tc>
      </w:tr>
      <w:tr>
        <w:trPr>
          <w:trHeight w:val="18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disposal of assets</w:t>
            </w:r>
          </w:p>
        </w:tc>
        <w:tc>
          <w:tcPr>
            <w:tcW w:w="1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r>
      <w:tr>
        <w:trPr>
          <w:trHeight w:val="171"/>
        </w:trPr>
        <w:tc>
          <w:tcPr>
            <w:tcW w:w="3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Unrealized loss (gain) on investment in equity securities</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(2,551)</w:t>
            </w:r>
          </w:p>
        </w:tc>
      </w:tr>
      <w:tr>
        <w:trPr>
          <w:trHeight w:val="18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Intangible asset impairment charge</w:t>
            </w:r>
          </w:p>
        </w:tc>
        <w:tc>
          <w:tcPr>
            <w:tcW w:w="1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w:t>
            </w:r>
          </w:p>
        </w:tc>
      </w:tr>
      <w:tr>
        <w:trPr>
          <w:trHeight w:val="171"/>
        </w:trPr>
        <w:tc>
          <w:tcPr>
            <w:tcW w:w="3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11,631</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9,691</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33,228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28,161</w:t>
            </w:r>
          </w:p>
        </w:tc>
      </w:tr>
      <w:tr>
        <w:trPr>
          <w:trHeight w:val="18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M&amp;A transaction and integration expenses</w:t>
            </w:r>
          </w:p>
        </w:tc>
        <w:tc>
          <w:tcPr>
            <w:tcW w:w="1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3,216</w:t>
            </w:r>
          </w:p>
        </w:tc>
      </w:tr>
      <w:tr>
        <w:trPr>
          <w:trHeight w:val="171"/>
        </w:trPr>
        <w:tc>
          <w:tcPr>
            <w:tcW w:w="3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Litigation expenses and settlement proceeds</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3,847</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12,038</w:t>
            </w:r>
          </w:p>
        </w:tc>
      </w:tr>
      <w:tr>
        <w:trPr>
          <w:trHeight w:val="18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Severance</w:t>
            </w:r>
          </w:p>
        </w:tc>
        <w:tc>
          <w:tcPr>
            <w:tcW w:w="1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71"/>
        </w:trPr>
        <w:tc>
          <w:tcPr>
            <w:tcW w:w="3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expense (income)</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w:t>
            </w:r>
          </w:p>
        </w:tc>
      </w:tr>
      <w:tr>
        <w:trPr>
          <w:trHeight w:val="18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w:t>
            </w:r>
          </w:p>
        </w:tc>
        <w:tc>
          <w:tcPr>
            <w:tcW w:w="1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Estimated tax impact of adjustments</w:t>
            </w: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(8,103)</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(5,522)</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(21,157)</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(22,118)</w:t>
            </w:r>
          </w:p>
        </w:tc>
      </w:tr>
      <w:tr>
        <w:trPr>
          <w:trHeight w:val="169"/>
        </w:trPr>
        <w:tc>
          <w:tcPr>
            <w:tcW w:w="38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Adjusted non-GAAP Net Income Available to Common Shareholders </w:t>
            </w:r>
            <w:r>
              <w:rPr>
                <w:rFonts w:ascii="Times New Roman" w:cs="Times New Roman" w:eastAsia="Times New Roman" w:hAnsi="Times New Roman"/>
                <w:sz w:val="15"/>
                <w:szCs w:val="15"/>
                <w:color w:val="auto"/>
                <w:vertAlign w:val="superscript"/>
              </w:rPr>
              <w:t>(1)</w:t>
            </w:r>
          </w:p>
        </w:tc>
        <w:tc>
          <w:tcPr>
            <w:tcW w:w="1240" w:type="dxa"/>
            <w:vAlign w:val="bottom"/>
            <w:tcBorders>
              <w:bottom w:val="single" w:sz="8" w:color="auto"/>
            </w:tcBorders>
          </w:tcPr>
          <w:p>
            <w:pPr>
              <w:jc w:val="right"/>
              <w:ind w:right="11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58,212</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41,991</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149,569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112,643</w:t>
            </w:r>
          </w:p>
        </w:tc>
      </w:tr>
      <w:tr>
        <w:trPr>
          <w:trHeight w:val="16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Weighted-Average</w:t>
            </w:r>
          </w:p>
        </w:tc>
        <w:tc>
          <w:tcPr>
            <w:tcW w:w="1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1"/>
        </w:trPr>
        <w:tc>
          <w:tcPr>
            <w:tcW w:w="38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Outstanding</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21,675</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21,093</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21,598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20,911</w:t>
            </w:r>
          </w:p>
        </w:tc>
      </w:tr>
      <w:tr>
        <w:trPr>
          <w:trHeight w:val="18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Adjusted Diluted Weighted-Average </w:t>
            </w:r>
            <w:r>
              <w:rPr>
                <w:rFonts w:ascii="Times New Roman" w:cs="Times New Roman" w:eastAsia="Times New Roman" w:hAnsi="Times New Roman"/>
                <w:sz w:val="15"/>
                <w:szCs w:val="15"/>
                <w:color w:val="auto"/>
                <w:vertAlign w:val="superscript"/>
              </w:rPr>
              <w:t>(2)</w:t>
            </w:r>
          </w:p>
        </w:tc>
        <w:tc>
          <w:tcPr>
            <w:tcW w:w="1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38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Outstanding</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21,554</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20,591</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21,479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20,318</w:t>
            </w:r>
          </w:p>
        </w:tc>
      </w:tr>
      <w:tr>
        <w:trPr>
          <w:trHeight w:val="189"/>
        </w:trPr>
        <w:tc>
          <w:tcPr>
            <w:tcW w:w="38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Adjusted non-GAAP</w:t>
            </w: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94"/>
        </w:trPr>
        <w:tc>
          <w:tcPr>
            <w:tcW w:w="3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1240" w:type="dxa"/>
            <w:vAlign w:val="bottom"/>
            <w:tcBorders>
              <w:bottom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w:t>
            </w:r>
          </w:p>
        </w:tc>
      </w:tr>
    </w:tbl>
    <w:p>
      <w:pPr>
        <w:spacing w:after="0" w:line="214" w:lineRule="exact"/>
        <w:rPr>
          <w:sz w:val="20"/>
          <w:szCs w:val="20"/>
          <w:color w:val="auto"/>
        </w:rPr>
      </w:pPr>
    </w:p>
    <w:p>
      <w:pPr>
        <w:ind w:left="108" w:hanging="108"/>
        <w:spacing w:after="0"/>
        <w:tabs>
          <w:tab w:leader="none" w:pos="108"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Adjusted non-GAAP Net Income Available to Common Shareholders excludes undistributed earnings to participating securities.</w:t>
      </w:r>
    </w:p>
    <w:p>
      <w:pPr>
        <w:spacing w:after="0" w:line="6" w:lineRule="exact"/>
        <w:rPr>
          <w:rFonts w:ascii="Times New Roman" w:cs="Times New Roman" w:eastAsia="Times New Roman" w:hAnsi="Times New Roman"/>
          <w:sz w:val="13"/>
          <w:szCs w:val="13"/>
          <w:color w:val="auto"/>
          <w:vertAlign w:val="superscript"/>
        </w:rPr>
      </w:pPr>
    </w:p>
    <w:p>
      <w:pPr>
        <w:jc w:val="both"/>
        <w:ind w:left="8" w:right="180" w:hanging="8"/>
        <w:spacing w:after="0" w:line="254" w:lineRule="auto"/>
        <w:tabs>
          <w:tab w:leader="none" w:pos="118"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Non-GAAP Adjusted Diluted Weighted-Average Shares Outstanding exclude certain dilutive shares related to the senior convertible notes as they are intended to be covered by our capped call transactions. Our outstanding capped call transactions are intended to fully offset the dilutive effect of the senior convertible notes recognized in the calculation of GAAP diluted EPS, and therefore 121,000 shares and 119,000 shares, for the three and nine months ended September 30, 2026, respectively, have been excluded from the calculation of Non-GAAP Adjusted Diluted Weighted-Average Shares Outstanding.</w:t>
      </w:r>
    </w:p>
    <w:p>
      <w:pPr>
        <w:sectPr>
          <w:pgSz w:w="11900" w:h="16838" w:orient="portrait"/>
          <w:cols w:equalWidth="0" w:num="1">
            <w:col w:w="11308"/>
          </w:cols>
          <w:pgMar w:left="292" w:top="701" w:right="299" w:bottom="1440" w:gutter="0" w:footer="0" w:header="0"/>
        </w:sectPr>
      </w:pPr>
    </w:p>
    <w:bookmarkStart w:id="20" w:name="page21"/>
    <w:bookmarkEnd w:id="20"/>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both"/>
        <w:spacing w:after="0" w:line="254" w:lineRule="auto"/>
        <w:tabs>
          <w:tab w:leader="none" w:pos="1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2"/>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1"/>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2026-11-05T05:58:05Z</dcterms:created>
  <dcterms:modified xsi:type="dcterms:W3CDTF">2026-11-05T05:58:05Z</dcterms:modified>
</cp:coreProperties>
</file>